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513127</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eastAsia"/>
          <w:b/>
          <w:sz w:val="24"/>
          <w:szCs w:val="24"/>
          <w:highlight w:val="none"/>
          <w:lang w:val="en-US" w:eastAsia="zh-CN"/>
        </w:rPr>
        <w:t>Prague, Czech Republic</w:t>
      </w:r>
      <w:r>
        <w:rPr>
          <w:rFonts w:hint="default"/>
          <w:b/>
          <w:sz w:val="24"/>
          <w:szCs w:val="24"/>
          <w:highlight w:val="none"/>
          <w:lang w:eastAsia="zh-CN"/>
        </w:rPr>
        <w:t xml:space="preserve">, </w:t>
      </w:r>
      <w:r>
        <w:rPr>
          <w:b/>
          <w:sz w:val="24"/>
          <w:szCs w:val="24"/>
          <w:highlight w:val="none"/>
          <w:lang w:eastAsia="zh-CN"/>
        </w:rPr>
        <w:t>Oct. 13-17</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2025</w:t>
      </w:r>
    </w:p>
    <w:p w14:paraId="607309BB">
      <w:pPr>
        <w:tabs>
          <w:tab w:val="left" w:pos="1985"/>
        </w:tabs>
        <w:rPr>
          <w:rFonts w:ascii="Times New Roman" w:hAnsi="Times New Roman"/>
          <w:b/>
          <w:sz w:val="22"/>
          <w:highlight w:val="none"/>
        </w:rPr>
      </w:pPr>
    </w:p>
    <w:p w14:paraId="51C17403">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7</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RRM for 6GR study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4"/>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4"/>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4"/>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4"/>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4"/>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4"/>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4"/>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4"/>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4"/>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4"/>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4"/>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4"/>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4"/>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4"/>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4"/>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4"/>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4"/>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4"/>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4"/>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4"/>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4"/>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4"/>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about RAN4 6G topic planning based on 6G SID, and RAN4 6G plan and meeting arrangement was approved [2]. This meeting is RAN4 first meeting to discuss 6GR.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RRM consideration for 6GR</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575F118A">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eastAsia"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 xml:space="preserve">2.1 General consideration  </w:t>
      </w:r>
    </w:p>
    <w:p w14:paraId="15FFF36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There are many requirements defined in TS38.133. In general the requirements can be categorized as  RRC_IDLE state mobility, RRC_INACTIVE state mobility, RRC_CONNECTED state mobility, Timing, Signalling characteristics, Measurement Procedure, Measurement Performance requirements, V2X Requirements, NR Sidelink Measurements for Positioning, Measurement Performance Requirements for NR gNB. For 6GR, from the perspective of RRM, the focus is RRM requirement and procedure aspects aiming at improvements and/or simplification compared to 5G NR. Based on above consideration, V2X Requirements, NR Sidelink Measurements for Positioning, etc, may not need to be considered in day-1.</w:t>
      </w:r>
    </w:p>
    <w:p w14:paraId="6E8E8B4E">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in general, it is proposed to consider following table as starting point for 6G study on RRM requirements and procedure aspects.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7019"/>
      </w:tblGrid>
      <w:tr w14:paraId="63EE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EFB53DC">
            <w:pPr>
              <w:spacing w:after="180" w:line="240" w:lineRule="exact"/>
              <w:rPr>
                <w:rFonts w:hint="default" w:ascii="Times New Roman" w:hAnsi="Times New Roman" w:eastAsia="等线"/>
                <w:b/>
                <w:bCs w:val="0"/>
                <w:i/>
                <w:iCs w:val="0"/>
                <w:sz w:val="20"/>
                <w:szCs w:val="20"/>
                <w:vertAlign w:val="baseline"/>
                <w:lang w:val="en-US" w:eastAsia="zh-CN"/>
              </w:rPr>
            </w:pPr>
          </w:p>
        </w:tc>
        <w:tc>
          <w:tcPr>
            <w:tcW w:w="7019" w:type="dxa"/>
          </w:tcPr>
          <w:p w14:paraId="037416D0">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Detail on </w:t>
            </w:r>
            <w:r>
              <w:rPr>
                <w:rFonts w:hint="eastAsia" w:ascii="Times New Roman" w:hAnsi="Times New Roman" w:eastAsia="等线"/>
                <w:b/>
                <w:bCs w:val="0"/>
                <w:i/>
                <w:iCs w:val="0"/>
                <w:sz w:val="20"/>
                <w:szCs w:val="20"/>
                <w:lang w:val="en-US" w:eastAsia="zh-CN"/>
              </w:rPr>
              <w:t>RRM requirements and procedure aspects</w:t>
            </w:r>
          </w:p>
        </w:tc>
      </w:tr>
      <w:tr w14:paraId="60132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29CD0FA">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RRC_IDLE state mobility</w:t>
            </w:r>
          </w:p>
        </w:tc>
        <w:tc>
          <w:tcPr>
            <w:tcW w:w="7019" w:type="dxa"/>
          </w:tcPr>
          <w:p w14:paraId="734FD318">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Idle Mode CA/DC Measurements, Measurement report for fast CA/DC setup, etc</w:t>
            </w:r>
          </w:p>
        </w:tc>
      </w:tr>
      <w:tr w14:paraId="1767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705183D4">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RRC_INACTIVE state mobility</w:t>
            </w:r>
          </w:p>
        </w:tc>
        <w:tc>
          <w:tcPr>
            <w:tcW w:w="7019" w:type="dxa"/>
          </w:tcPr>
          <w:p w14:paraId="567F69E5">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Inactive Mode CA/DC Measurements, Measurement report for fast CA/DC setup, etc</w:t>
            </w:r>
          </w:p>
        </w:tc>
      </w:tr>
      <w:tr w14:paraId="0D09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3AD6BFF6">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RRC_CONNECTED state mobility</w:t>
            </w:r>
          </w:p>
        </w:tc>
        <w:tc>
          <w:tcPr>
            <w:tcW w:w="7019" w:type="dxa"/>
          </w:tcPr>
          <w:p w14:paraId="30946C8E">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Handover, Conditional Handover, RRC Re-establishment, Random access, L1/L2-Triggered Mobility, etc</w:t>
            </w:r>
          </w:p>
        </w:tc>
      </w:tr>
      <w:tr w14:paraId="31E40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5E109576">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Timing</w:t>
            </w:r>
          </w:p>
        </w:tc>
        <w:tc>
          <w:tcPr>
            <w:tcW w:w="7019" w:type="dxa"/>
          </w:tcPr>
          <w:p w14:paraId="46D7D640">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UE transmit timing, UE timer accuracy, Timing advance, Cell phase synchronization accuracy, Maximum Transmission Timing Difference, Maximum Receive Timing Difference, etc</w:t>
            </w:r>
          </w:p>
        </w:tc>
      </w:tr>
      <w:tr w14:paraId="527F0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04555B58">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Signalling characteristics</w:t>
            </w:r>
          </w:p>
        </w:tc>
        <w:tc>
          <w:tcPr>
            <w:tcW w:w="7019" w:type="dxa"/>
          </w:tcPr>
          <w:p w14:paraId="5A591365">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Radio Link Monitoring, Interruption, SCell Activation and Deactivation Delay, Link Recovery Procedures, etc</w:t>
            </w:r>
          </w:p>
        </w:tc>
      </w:tr>
      <w:tr w14:paraId="240F0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B67A36B">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Procedure</w:t>
            </w:r>
          </w:p>
        </w:tc>
        <w:tc>
          <w:tcPr>
            <w:tcW w:w="7019" w:type="dxa"/>
          </w:tcPr>
          <w:p w14:paraId="77494397">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Measurement gap including gap pattern and gap type, UE Measurement capability, L3/L1 intra-frequency measurements, L3/L1 inter-frequency measurements, Inter-RAT measurements, etc</w:t>
            </w:r>
          </w:p>
        </w:tc>
      </w:tr>
      <w:tr w14:paraId="362E5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465C2CD4">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Performance requirements</w:t>
            </w:r>
          </w:p>
        </w:tc>
        <w:tc>
          <w:tcPr>
            <w:tcW w:w="7019" w:type="dxa"/>
          </w:tcPr>
          <w:p w14:paraId="4ADFF54A">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RSRP/RSRQ/SINR accuracy requirements, etc</w:t>
            </w:r>
          </w:p>
        </w:tc>
      </w:tr>
    </w:tbl>
    <w:p w14:paraId="13A441DB">
      <w:pPr>
        <w:spacing w:after="180" w:line="240" w:lineRule="exact"/>
        <w:rPr>
          <w:rFonts w:hint="default" w:ascii="Times New Roman" w:hAnsi="Times New Roman" w:eastAsia="等线"/>
          <w:bCs/>
          <w:iCs/>
          <w:sz w:val="20"/>
          <w:szCs w:val="20"/>
          <w:lang w:val="en-US" w:eastAsia="zh-CN"/>
        </w:rPr>
      </w:pPr>
    </w:p>
    <w:p w14:paraId="7EDE4F62">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 xml:space="preserve">2.2 Measurement gap </w:t>
      </w:r>
    </w:p>
    <w:p w14:paraId="40E9375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Measurement plays an important role in RAN4 RRM. Measurement enhancement, including multiple measurement gap types, introduced in different release in 5G. Per-UE gap and per-FR gap are the baseline. Inter-frequcy measurement without gap for the case that SSB is completely contained in the active BWP of the UE is introduced in Rel-16. NeedForGap is introduced by RAN2 in Rel-16, but the requirements are not specified until Rel-18. Concurrent MGs, Pre-MG, NCSG are introduced in Rel-17. Rel-18 focus on enhancements of pre-configured MGs, multiple concurrent MGs and NCSG, NR SSB-based inter-frequency and intra-frequency measurements without gaps, and inter-RAT measurement without gaps. XR transmission/reception in measurement gaps (MG skipping/cancelling) is supported in Rel-19.</w:t>
      </w:r>
    </w:p>
    <w:p w14:paraId="4B5CF82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1: Measurement enhancement, including multiple measurement gap types, are introduced in different release in 5G.</w:t>
      </w:r>
    </w:p>
    <w:p w14:paraId="6EB9660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Some useful feaures.e.g. measurement without gaps, are fully supported in Rel-18 when the related RAN4 requirements are specified. Since the standardization support for this feature is late, as a result, the market support is not well. To avoid the same issue in 6GR, it is necessary that the feature with market demand are supported from 6G day-one.</w:t>
      </w:r>
    </w:p>
    <w:p w14:paraId="745CDCB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that the feature with market demand are supported from 6G day-one.  </w:t>
      </w:r>
    </w:p>
    <w:p w14:paraId="4BB1AAF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From the perspective of operator, measurement without gaps is one of our interest, which is beneficial for network since the impact on throughput is reduced. In detail, there are two candidate solutions: </w:t>
      </w:r>
      <w:r>
        <w:rPr>
          <w:rFonts w:hint="default" w:ascii="Times New Roman" w:hAnsi="Times New Roman" w:cs="Times New Roman"/>
          <w:i/>
          <w:iCs/>
          <w:sz w:val="20"/>
          <w:szCs w:val="20"/>
          <w:lang w:eastAsia="zh-CN"/>
        </w:rPr>
        <w:t>NeedForGapNCSG</w:t>
      </w:r>
      <w:r>
        <w:rPr>
          <w:rFonts w:hint="eastAsia" w:ascii="Times New Roman" w:hAnsi="Times New Roman" w:cs="Times New Roman"/>
          <w:i/>
          <w:iCs/>
          <w:sz w:val="20"/>
          <w:szCs w:val="20"/>
          <w:lang w:val="en-US" w:eastAsia="zh-CN"/>
        </w:rPr>
        <w:t>, NeedForGap-InfoNR</w:t>
      </w:r>
      <w:r>
        <w:rPr>
          <w:rFonts w:hint="eastAsia" w:ascii="Times New Roman" w:hAnsi="Times New Roman" w:eastAsia="等线"/>
          <w:bCs/>
          <w:iCs/>
          <w:sz w:val="20"/>
          <w:szCs w:val="20"/>
          <w:lang w:val="en-US" w:eastAsia="zh-CN"/>
        </w:rPr>
        <w:t xml:space="preserve">. The common part of these two solutions is that measurement without MG are performed by using the spare RF chain. The difference is that for the location of interruption for NCSG is clear between network and UE, which is the VIL of the NCSG pattern. While for </w:t>
      </w:r>
      <w:r>
        <w:rPr>
          <w:rFonts w:hint="default" w:ascii="Times New Roman" w:hAnsi="Times New Roman" w:cs="Times New Roman"/>
          <w:i/>
          <w:iCs/>
          <w:sz w:val="20"/>
          <w:szCs w:val="20"/>
          <w:lang w:eastAsia="zh-CN"/>
        </w:rPr>
        <w:t>NeedForGap</w:t>
      </w:r>
      <w:r>
        <w:rPr>
          <w:rFonts w:hint="eastAsia" w:ascii="Times New Roman" w:hAnsi="Times New Roman" w:eastAsia="等线"/>
          <w:bCs/>
          <w:iCs/>
          <w:sz w:val="20"/>
          <w:szCs w:val="20"/>
          <w:lang w:val="en-US" w:eastAsia="zh-CN"/>
        </w:rPr>
        <w:t xml:space="preserve">, the interruption location are not specified, only maximum interruption ratio are defined.  </w:t>
      </w:r>
    </w:p>
    <w:p w14:paraId="0293209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As discussed above, NCSG is supported in Rel-17, and NeedForGap are introduced in Rel-16 but the requirements are not defined until Rel-18. As a results, the market support are not good. Another issue observed in 5G is that </w:t>
      </w:r>
      <w:r>
        <w:rPr>
          <w:rFonts w:hint="default" w:ascii="Times New Roman" w:hAnsi="Times New Roman" w:cs="Times New Roman"/>
          <w:i/>
          <w:iCs/>
          <w:sz w:val="20"/>
          <w:szCs w:val="20"/>
          <w:lang w:eastAsia="zh-CN"/>
        </w:rPr>
        <w:t>NeedForGapNCSG</w:t>
      </w:r>
      <w:r>
        <w:rPr>
          <w:rFonts w:hint="eastAsia" w:ascii="Times New Roman" w:hAnsi="Times New Roman" w:cs="Times New Roman"/>
          <w:i/>
          <w:iCs/>
          <w:sz w:val="20"/>
          <w:szCs w:val="20"/>
          <w:lang w:val="en-US" w:eastAsia="zh-CN"/>
        </w:rPr>
        <w:t xml:space="preserve"> </w:t>
      </w:r>
      <w:r>
        <w:rPr>
          <w:rFonts w:hint="eastAsia" w:ascii="Times New Roman" w:hAnsi="Times New Roman" w:eastAsia="等线"/>
          <w:bCs/>
          <w:iCs/>
          <w:sz w:val="20"/>
          <w:szCs w:val="20"/>
          <w:lang w:val="en-US" w:eastAsia="zh-CN"/>
        </w:rPr>
        <w:t xml:space="preserve">and </w:t>
      </w:r>
      <w:r>
        <w:rPr>
          <w:rFonts w:hint="eastAsia" w:ascii="Times New Roman" w:hAnsi="Times New Roman" w:cs="Times New Roman"/>
          <w:i/>
          <w:iCs/>
          <w:sz w:val="20"/>
          <w:szCs w:val="20"/>
          <w:lang w:val="en-US" w:eastAsia="zh-CN"/>
        </w:rPr>
        <w:t>NeedForGap-InfoNR</w:t>
      </w:r>
      <w:r>
        <w:rPr>
          <w:rFonts w:hint="eastAsia" w:ascii="Times New Roman" w:hAnsi="Times New Roman" w:eastAsia="等线"/>
          <w:bCs/>
          <w:iCs/>
          <w:sz w:val="20"/>
          <w:szCs w:val="20"/>
          <w:lang w:val="en-US" w:eastAsia="zh-CN"/>
        </w:rPr>
        <w:t xml:space="preserve"> are similar solutions, considering both solutions will  lead to WG workload increase and mentmarket fragment. It is necessary to focus on one solution. </w:t>
      </w:r>
    </w:p>
    <w:p w14:paraId="76F30CDC">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it is proposed that measurement without gaps, e.g. </w:t>
      </w:r>
      <w:r>
        <w:rPr>
          <w:rFonts w:hint="default" w:ascii="Times New Roman" w:hAnsi="Times New Roman" w:cs="Times New Roman"/>
          <w:b/>
          <w:bCs w:val="0"/>
          <w:i/>
          <w:iCs w:val="0"/>
          <w:sz w:val="20"/>
          <w:szCs w:val="20"/>
          <w:lang w:eastAsia="zh-CN"/>
        </w:rPr>
        <w:t>NCSG</w:t>
      </w:r>
      <w:r>
        <w:rPr>
          <w:rFonts w:hint="eastAsia" w:ascii="Times New Roman" w:hAnsi="Times New Roman" w:cs="Times New Roman"/>
          <w:b/>
          <w:bCs w:val="0"/>
          <w:i/>
          <w:iCs w:val="0"/>
          <w:sz w:val="20"/>
          <w:szCs w:val="20"/>
          <w:lang w:val="en-US" w:eastAsia="zh-CN"/>
        </w:rPr>
        <w:t xml:space="preserve"> </w:t>
      </w:r>
      <w:r>
        <w:rPr>
          <w:rFonts w:hint="eastAsia" w:ascii="Times New Roman" w:hAnsi="Times New Roman" w:eastAsia="等线"/>
          <w:b/>
          <w:bCs w:val="0"/>
          <w:i/>
          <w:iCs w:val="0"/>
          <w:sz w:val="20"/>
          <w:szCs w:val="20"/>
          <w:lang w:val="en-US" w:eastAsia="zh-CN"/>
        </w:rPr>
        <w:t xml:space="preserve">or </w:t>
      </w:r>
      <w:r>
        <w:rPr>
          <w:rFonts w:hint="eastAsia" w:ascii="Times New Roman" w:hAnsi="Times New Roman" w:cs="Times New Roman"/>
          <w:b/>
          <w:bCs w:val="0"/>
          <w:i/>
          <w:iCs w:val="0"/>
          <w:sz w:val="20"/>
          <w:szCs w:val="20"/>
          <w:lang w:val="en-US" w:eastAsia="zh-CN"/>
        </w:rPr>
        <w:t xml:space="preserve">NeedForGap are supported as mandatory from </w:t>
      </w:r>
      <w:r>
        <w:rPr>
          <w:rFonts w:hint="eastAsia" w:ascii="Times New Roman" w:hAnsi="Times New Roman" w:eastAsia="等线"/>
          <w:b/>
          <w:bCs w:val="0"/>
          <w:i/>
          <w:iCs w:val="0"/>
          <w:sz w:val="20"/>
          <w:szCs w:val="20"/>
          <w:lang w:val="en-US" w:eastAsia="zh-CN"/>
        </w:rPr>
        <w:t>6G day-one.</w:t>
      </w:r>
    </w:p>
    <w:p w14:paraId="2C5ABFD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 related consideration is about interruption. For measurement without gap, no matter </w:t>
      </w:r>
      <w:r>
        <w:rPr>
          <w:rFonts w:hint="default" w:ascii="Times New Roman" w:hAnsi="Times New Roman" w:cs="Times New Roman"/>
          <w:i/>
          <w:iCs/>
          <w:sz w:val="20"/>
          <w:szCs w:val="20"/>
          <w:lang w:eastAsia="zh-CN"/>
        </w:rPr>
        <w:t>NeedForGapNCSG</w:t>
      </w:r>
      <w:r>
        <w:rPr>
          <w:rFonts w:hint="eastAsia" w:ascii="Times New Roman" w:hAnsi="Times New Roman" w:cs="Times New Roman"/>
          <w:i/>
          <w:iCs/>
          <w:sz w:val="20"/>
          <w:szCs w:val="20"/>
          <w:lang w:val="en-US" w:eastAsia="zh-CN"/>
        </w:rPr>
        <w:t xml:space="preserve"> </w:t>
      </w:r>
      <w:r>
        <w:rPr>
          <w:rFonts w:hint="eastAsia" w:ascii="Times New Roman" w:hAnsi="Times New Roman" w:eastAsia="等线"/>
          <w:bCs/>
          <w:iCs/>
          <w:sz w:val="20"/>
          <w:szCs w:val="20"/>
          <w:lang w:val="en-US" w:eastAsia="zh-CN"/>
        </w:rPr>
        <w:t xml:space="preserve">or </w:t>
      </w:r>
      <w:r>
        <w:rPr>
          <w:rFonts w:hint="eastAsia" w:ascii="Times New Roman" w:hAnsi="Times New Roman" w:cs="Times New Roman"/>
          <w:i/>
          <w:iCs/>
          <w:sz w:val="20"/>
          <w:szCs w:val="20"/>
          <w:lang w:val="en-US" w:eastAsia="zh-CN"/>
        </w:rPr>
        <w:t>NeedForGap-InfoNR</w:t>
      </w:r>
      <w:r>
        <w:rPr>
          <w:rFonts w:hint="eastAsia" w:ascii="Times New Roman" w:hAnsi="Times New Roman" w:eastAsia="等线"/>
          <w:bCs/>
          <w:iCs/>
          <w:sz w:val="20"/>
          <w:szCs w:val="20"/>
          <w:lang w:val="en-US" w:eastAsia="zh-CN"/>
        </w:rPr>
        <w:t>, there is UE capability about whether there is interruption. Even though UE capability is introduced, the common case is assuming interruption is needed. On one hand, no measurement gap but with interruption will impact throughput. On the other hand, with or without interruption complex the specification, as duplicated as following as one example.</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076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7346733">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TS 38.133 </w:t>
            </w:r>
          </w:p>
          <w:p w14:paraId="7B904394">
            <w:pPr>
              <w:rPr>
                <w:rFonts w:hint="default" w:ascii="Times New Roman" w:hAnsi="Times New Roman" w:cs="Times New Roman"/>
                <w:sz w:val="20"/>
                <w:szCs w:val="20"/>
              </w:rPr>
            </w:pPr>
            <w:r>
              <w:rPr>
                <w:rFonts w:hint="default" w:ascii="Times New Roman" w:hAnsi="Times New Roman" w:cs="Times New Roman"/>
                <w:sz w:val="20"/>
                <w:szCs w:val="20"/>
              </w:rPr>
              <w:t>The inter-frequency measurement requirements in clause 9.3.4 and clause 9.3.5 applies for the following scenarios:</w:t>
            </w:r>
          </w:p>
          <w:p w14:paraId="687D8D48">
            <w:pPr>
              <w:pStyle w:val="17"/>
              <w:ind w:left="567"/>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SSB-based inter-frequency measurement object</w:t>
            </w:r>
            <w:r>
              <w:rPr>
                <w:rFonts w:hint="default" w:ascii="Times New Roman" w:hAnsi="Times New Roman" w:cs="Times New Roman"/>
                <w:sz w:val="20"/>
                <w:szCs w:val="20"/>
                <w:lang w:eastAsia="zh-CN"/>
              </w:rPr>
              <w:t xml:space="preserve"> with measurement gap</w:t>
            </w:r>
            <w:r>
              <w:rPr>
                <w:rFonts w:hint="default" w:ascii="Times New Roman" w:hAnsi="Times New Roman" w:cs="Times New Roman"/>
                <w:sz w:val="20"/>
                <w:szCs w:val="20"/>
              </w:rPr>
              <w:t>.</w:t>
            </w:r>
          </w:p>
          <w:p w14:paraId="33A20190">
            <w:pPr>
              <w:pStyle w:val="17"/>
              <w:ind w:left="567"/>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SSB-based inter-frequency measurement object</w:t>
            </w:r>
            <w:r>
              <w:rPr>
                <w:rFonts w:hint="default" w:ascii="Times New Roman" w:hAnsi="Times New Roman" w:cs="Times New Roman"/>
                <w:sz w:val="20"/>
                <w:szCs w:val="20"/>
                <w:lang w:eastAsia="zh-CN"/>
              </w:rPr>
              <w:t xml:space="preserve"> without measurement gap</w:t>
            </w:r>
            <w:r>
              <w:rPr>
                <w:rFonts w:hint="default" w:ascii="Times New Roman" w:hAnsi="Times New Roman" w:cs="Times New Roman"/>
                <w:sz w:val="20"/>
                <w:szCs w:val="20"/>
              </w:rPr>
              <w:t xml:space="preserve"> for UE capable of </w:t>
            </w:r>
            <w:r>
              <w:rPr>
                <w:rFonts w:hint="default" w:ascii="Times New Roman" w:hAnsi="Times New Roman" w:cs="Times New Roman"/>
                <w:i/>
                <w:iCs/>
                <w:sz w:val="20"/>
                <w:szCs w:val="20"/>
              </w:rPr>
              <w:t>interFrequencyMeas-NoGap</w:t>
            </w:r>
            <w:r>
              <w:rPr>
                <w:rFonts w:hint="default" w:ascii="Times New Roman" w:hAnsi="Times New Roman" w:cs="Times New Roman"/>
                <w:sz w:val="20"/>
                <w:szCs w:val="20"/>
              </w:rPr>
              <w:t>, when</w:t>
            </w:r>
          </w:p>
          <w:p w14:paraId="6922B532">
            <w:pPr>
              <w:pStyle w:val="18"/>
              <w:ind w:left="8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all of the SMTC occasions of this inter-frequency measurement object are overlapped with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rPr>
              <w:t>concurrent measurement gaps</w:t>
            </w:r>
            <w:r>
              <w:rPr>
                <w:rFonts w:hint="default" w:ascii="Times New Roman" w:hAnsi="Times New Roman" w:cs="Times New Roman"/>
                <w:sz w:val="20"/>
                <w:szCs w:val="20"/>
                <w:lang w:eastAsia="zh-CN"/>
              </w:rPr>
              <w:t>, or</w:t>
            </w:r>
          </w:p>
          <w:p w14:paraId="738E2EBB">
            <w:pPr>
              <w:pStyle w:val="18"/>
              <w:ind w:left="8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part of the SMTC occasions of this inter-frequency measurement object are overlapped with the associated measurement gap and all the SMTC occasions of this inter-frequency measurement object are overlapped with the union of concurrent measurement gaps, or</w:t>
            </w:r>
          </w:p>
          <w:p w14:paraId="30A3A788">
            <w:pPr>
              <w:pStyle w:val="18"/>
              <w:ind w:left="8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part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rPr>
              <w:t xml:space="preserve">concurrent measurement gaps </w:t>
            </w:r>
            <w:r>
              <w:rPr>
                <w:rFonts w:hint="default" w:ascii="Times New Roman" w:hAnsi="Times New Roman" w:cs="Times New Roman"/>
                <w:sz w:val="20"/>
                <w:szCs w:val="20"/>
                <w:lang w:eastAsia="zh-CN"/>
              </w:rPr>
              <w:t xml:space="preserve">and </w:t>
            </w:r>
            <w:r>
              <w:rPr>
                <w:rFonts w:hint="default" w:ascii="Times New Roman" w:hAnsi="Times New Roman" w:cs="Times New Roman"/>
                <w:sz w:val="20"/>
                <w:szCs w:val="20"/>
                <w:lang w:eastAsia="zh-TW"/>
              </w:rPr>
              <w:t xml:space="preserve">the flag </w:t>
            </w:r>
            <w:r>
              <w:rPr>
                <w:rFonts w:hint="default" w:ascii="Times New Roman" w:hAnsi="Times New Roman" w:cs="Times New Roman"/>
                <w:i/>
                <w:sz w:val="20"/>
                <w:szCs w:val="20"/>
                <w:lang w:eastAsia="zh-TW"/>
              </w:rPr>
              <w:t>interFrequencyConfig-NoGap-r16</w:t>
            </w:r>
            <w:r>
              <w:rPr>
                <w:rFonts w:hint="default" w:ascii="Times New Roman" w:hAnsi="Times New Roman" w:cs="Times New Roman"/>
                <w:sz w:val="20"/>
                <w:szCs w:val="20"/>
                <w:lang w:eastAsia="zh-TW"/>
              </w:rPr>
              <w:t xml:space="preserve"> is not configured by the Network</w:t>
            </w:r>
            <w:r>
              <w:rPr>
                <w:rFonts w:hint="default" w:ascii="Times New Roman" w:hAnsi="Times New Roman" w:cs="Times New Roman"/>
                <w:sz w:val="20"/>
                <w:szCs w:val="20"/>
                <w:lang w:eastAsia="zh-CN"/>
              </w:rPr>
              <w:t>.</w:t>
            </w:r>
          </w:p>
          <w:p w14:paraId="62CE5B2C">
            <w:pPr>
              <w:pStyle w:val="17"/>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part of the SMTC occasions of this </w:t>
            </w:r>
            <w:r>
              <w:rPr>
                <w:rFonts w:hint="default" w:ascii="Times New Roman" w:hAnsi="Times New Roman" w:cs="Times New Roman"/>
                <w:sz w:val="20"/>
                <w:szCs w:val="20"/>
                <w:lang w:eastAsia="zh-CN"/>
              </w:rPr>
              <w:t>inter</w:t>
            </w:r>
            <w:r>
              <w:rPr>
                <w:rFonts w:hint="default" w:ascii="Times New Roman" w:hAnsi="Times New Roman" w:cs="Times New Roman"/>
                <w:sz w:val="20"/>
                <w:szCs w:val="20"/>
              </w:rPr>
              <w:t xml:space="preserve">-frequency measurement object are overlapped with the associated measurement gap and all the SMTC occasions of this </w:t>
            </w:r>
            <w:r>
              <w:rPr>
                <w:rFonts w:hint="default" w:ascii="Times New Roman" w:hAnsi="Times New Roman" w:cs="Times New Roman"/>
                <w:sz w:val="20"/>
                <w:szCs w:val="20"/>
                <w:lang w:eastAsia="zh-CN"/>
              </w:rPr>
              <w:t>inter</w:t>
            </w:r>
            <w:r>
              <w:rPr>
                <w:rFonts w:hint="default" w:ascii="Times New Roman" w:hAnsi="Times New Roman" w:cs="Times New Roman"/>
                <w:sz w:val="20"/>
                <w:szCs w:val="20"/>
              </w:rPr>
              <w:t>-frequency measurement object are overlapped with the union of concurrent measurement gaps or the union of concurrent measurement gaps and MUSIM gaps if MUSIM gaps are configured.</w:t>
            </w:r>
          </w:p>
          <w:p w14:paraId="0700B7FC">
            <w:pPr>
              <w:pStyle w:val="18"/>
              <w:ind w:left="850"/>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no requirement applies if </w:t>
            </w:r>
            <w:r>
              <w:rPr>
                <w:rFonts w:hint="default" w:ascii="Times New Roman" w:hAnsi="Times New Roman" w:cs="Times New Roman"/>
                <w:sz w:val="20"/>
                <w:szCs w:val="20"/>
                <w:lang w:eastAsia="zh-CN"/>
              </w:rPr>
              <w:t xml:space="preserve">all of the SMTC occasions of this inter-frequency measurement object are overlapped with </w:t>
            </w:r>
            <w:r>
              <w:rPr>
                <w:rFonts w:hint="default" w:ascii="Times New Roman" w:hAnsi="Times New Roman" w:cs="Times New Roman"/>
                <w:sz w:val="20"/>
                <w:szCs w:val="20"/>
              </w:rPr>
              <w:t>MUSIM gaps if MUSIM gaps are configured.</w:t>
            </w:r>
          </w:p>
          <w:p w14:paraId="6C49F328">
            <w:pPr>
              <w:pStyle w:val="17"/>
              <w:ind w:left="567"/>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SSB-based inter-frequency measurement object</w:t>
            </w:r>
            <w:r>
              <w:rPr>
                <w:rFonts w:hint="default" w:ascii="Times New Roman" w:hAnsi="Times New Roman" w:cs="Times New Roman"/>
                <w:sz w:val="20"/>
                <w:szCs w:val="20"/>
                <w:lang w:eastAsia="zh-CN"/>
              </w:rPr>
              <w:t xml:space="preserve"> without measurement gap</w:t>
            </w:r>
            <w:r>
              <w:rPr>
                <w:rFonts w:hint="default" w:ascii="Times New Roman" w:hAnsi="Times New Roman" w:cs="Times New Roman"/>
                <w:sz w:val="20"/>
                <w:szCs w:val="20"/>
              </w:rPr>
              <w:t xml:space="preserve"> for UE capable of </w:t>
            </w:r>
            <w:r>
              <w:rPr>
                <w:rFonts w:hint="default" w:ascii="Times New Roman" w:hAnsi="Times New Roman" w:cs="Times New Roman"/>
                <w:i/>
                <w:iCs/>
                <w:sz w:val="20"/>
                <w:szCs w:val="20"/>
                <w:lang w:eastAsia="zh-CN"/>
              </w:rPr>
              <w:t>NeedForInterruptionInfoNR-r18</w:t>
            </w:r>
            <w:r>
              <w:rPr>
                <w:rFonts w:hint="default" w:ascii="Times New Roman" w:hAnsi="Times New Roman" w:cs="Times New Roman"/>
                <w:sz w:val="20"/>
                <w:szCs w:val="20"/>
              </w:rPr>
              <w:t>, when</w:t>
            </w:r>
          </w:p>
          <w:p w14:paraId="11E6D7BC">
            <w:pPr>
              <w:ind w:left="850" w:hanging="28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zh-CN"/>
              </w:rPr>
              <w:t>all of the SMTC occasions of this inter-frequency measurement object are overlapped with the measurement gap</w:t>
            </w:r>
            <w:r>
              <w:rPr>
                <w:rFonts w:hint="default" w:ascii="Times New Roman" w:hAnsi="Times New Roman" w:cs="Times New Roman"/>
                <w:sz w:val="20"/>
                <w:szCs w:val="20"/>
                <w:lang w:eastAsia="en-GB"/>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lang w:eastAsia="en-GB"/>
              </w:rPr>
              <w:t xml:space="preserve">concurrent measurement gaps for </w:t>
            </w:r>
            <w:r>
              <w:rPr>
                <w:rFonts w:hint="default" w:ascii="Times New Roman" w:hAnsi="Times New Roman" w:cs="Times New Roman"/>
                <w:sz w:val="20"/>
                <w:szCs w:val="20"/>
                <w:lang w:eastAsia="zh-CN"/>
              </w:rPr>
              <w:t>the UE indicat</w:t>
            </w:r>
            <w:r>
              <w:rPr>
                <w:rFonts w:hint="default" w:ascii="Times New Roman" w:hAnsi="Times New Roman" w:cs="Times New Roman"/>
                <w:sz w:val="20"/>
                <w:szCs w:val="20"/>
                <w:lang w:val="en-US" w:eastAsia="zh-CN"/>
              </w:rPr>
              <w:t>ing</w:t>
            </w:r>
            <w:r>
              <w:rPr>
                <w:rFonts w:hint="default" w:ascii="Times New Roman" w:hAnsi="Times New Roman" w:cs="Times New Roman"/>
                <w:sz w:val="20"/>
                <w:szCs w:val="20"/>
                <w:lang w:eastAsia="zh-CN"/>
              </w:rPr>
              <w:t xml:space="preserve">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and ‘</w:t>
            </w:r>
            <w:r>
              <w:rPr>
                <w:rFonts w:hint="default" w:ascii="Times New Roman" w:hAnsi="Times New Roman" w:cs="Times New Roman"/>
                <w:i/>
                <w:iCs/>
                <w:sz w:val="20"/>
                <w:szCs w:val="20"/>
                <w:lang w:eastAsia="zh-CN"/>
              </w:rPr>
              <w:t>no-gap-with-interruption</w:t>
            </w:r>
            <w:r>
              <w:rPr>
                <w:rFonts w:hint="default" w:ascii="Times New Roman" w:hAnsi="Times New Roman" w:cs="Times New Roman"/>
                <w:sz w:val="20"/>
                <w:szCs w:val="20"/>
                <w:lang w:eastAsia="zh-CN"/>
              </w:rPr>
              <w:t>’ or ‘</w:t>
            </w:r>
            <w:r>
              <w:rPr>
                <w:rFonts w:hint="default" w:ascii="Times New Roman" w:hAnsi="Times New Roman" w:cs="Times New Roman"/>
                <w:i/>
                <w:iCs/>
                <w:sz w:val="20"/>
                <w:szCs w:val="20"/>
                <w:lang w:eastAsia="zh-CN"/>
              </w:rPr>
              <w:t>no-gap-no-interruption</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via </w:t>
            </w:r>
            <w:r>
              <w:rPr>
                <w:rFonts w:hint="default" w:ascii="Times New Roman" w:hAnsi="Times New Roman" w:cs="Times New Roman"/>
                <w:i/>
                <w:sz w:val="20"/>
                <w:szCs w:val="20"/>
                <w:lang w:eastAsia="zh-CN"/>
              </w:rPr>
              <w:t>NeedForInterruptionInfoNR-r18</w:t>
            </w:r>
            <w:r>
              <w:rPr>
                <w:rFonts w:hint="default" w:ascii="Times New Roman" w:hAnsi="Times New Roman" w:cs="Times New Roman"/>
                <w:i/>
                <w:sz w:val="20"/>
                <w:szCs w:val="20"/>
                <w:lang w:val="en-US" w:eastAsia="zh-CN"/>
              </w:rPr>
              <w:t xml:space="preserve"> </w:t>
            </w:r>
            <w:r>
              <w:rPr>
                <w:rFonts w:hint="default" w:ascii="Times New Roman" w:hAnsi="Times New Roman" w:cs="Times New Roman"/>
                <w:sz w:val="20"/>
                <w:szCs w:val="20"/>
                <w:lang w:eastAsia="zh-CN"/>
              </w:rPr>
              <w:t>for the inter-frequency measurement, or</w:t>
            </w:r>
          </w:p>
          <w:p w14:paraId="2D3D1A6D">
            <w:pPr>
              <w:pStyle w:val="18"/>
              <w:ind w:left="850"/>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zh-CN"/>
              </w:rPr>
              <w:t>part of the SMTC occasions of this inter-frequency measurement object are overlapped with the measurement gap</w:t>
            </w:r>
            <w:r>
              <w:rPr>
                <w:rFonts w:hint="default" w:ascii="Times New Roman" w:hAnsi="Times New Roman" w:cs="Times New Roman"/>
                <w:sz w:val="20"/>
                <w:szCs w:val="20"/>
                <w:lang w:eastAsia="en-GB"/>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lang w:eastAsia="en-GB"/>
              </w:rPr>
              <w:t xml:space="preserve">concurrent measurement gaps 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 xml:space="preserve">NeedForGapsInfoNR </w:t>
            </w:r>
            <w:r>
              <w:rPr>
                <w:rFonts w:hint="default" w:ascii="Times New Roman" w:hAnsi="Times New Roman" w:cs="Times New Roman"/>
                <w:sz w:val="20"/>
                <w:szCs w:val="20"/>
                <w:lang w:eastAsia="zh-CN"/>
              </w:rPr>
              <w:t>and ‘</w:t>
            </w:r>
            <w:r>
              <w:rPr>
                <w:rFonts w:hint="default" w:ascii="Times New Roman" w:hAnsi="Times New Roman" w:cs="Times New Roman"/>
                <w:i/>
                <w:iCs/>
                <w:sz w:val="20"/>
                <w:szCs w:val="20"/>
                <w:lang w:eastAsia="zh-CN"/>
              </w:rPr>
              <w:t>no-gap-</w:t>
            </w:r>
            <w:r>
              <w:rPr>
                <w:rFonts w:hint="default" w:ascii="Times New Roman" w:hAnsi="Times New Roman" w:cs="Times New Roman"/>
                <w:i/>
                <w:iCs/>
                <w:sz w:val="20"/>
                <w:szCs w:val="20"/>
                <w:lang w:val="en-US" w:eastAsia="zh-CN"/>
              </w:rPr>
              <w:t>with</w:t>
            </w:r>
            <w:r>
              <w:rPr>
                <w:rFonts w:hint="default" w:ascii="Times New Roman" w:hAnsi="Times New Roman" w:cs="Times New Roman"/>
                <w:i/>
                <w:iCs/>
                <w:sz w:val="20"/>
                <w:szCs w:val="20"/>
                <w:lang w:eastAsia="zh-CN"/>
              </w:rPr>
              <w:t>-interruption</w:t>
            </w:r>
            <w:r>
              <w:rPr>
                <w:rFonts w:hint="default" w:ascii="Times New Roman" w:hAnsi="Times New Roman" w:cs="Times New Roman"/>
                <w:sz w:val="20"/>
                <w:szCs w:val="20"/>
                <w:lang w:eastAsia="zh-CN"/>
              </w:rPr>
              <w:t xml:space="preserve">’ via </w:t>
            </w:r>
            <w:r>
              <w:rPr>
                <w:rFonts w:hint="default" w:ascii="Times New Roman" w:hAnsi="Times New Roman" w:cs="Times New Roman"/>
                <w:i/>
                <w:sz w:val="20"/>
                <w:szCs w:val="20"/>
                <w:lang w:eastAsia="zh-CN"/>
              </w:rPr>
              <w:t>NeedForInterruptionInfoNR-r18</w:t>
            </w:r>
            <w:r>
              <w:rPr>
                <w:rFonts w:hint="default" w:ascii="Times New Roman" w:hAnsi="Times New Roman" w:cs="Times New Roman"/>
                <w:sz w:val="20"/>
                <w:szCs w:val="20"/>
                <w:lang w:eastAsia="zh-CN"/>
              </w:rPr>
              <w:t xml:space="preserve"> for the inter-frequency measurement.</w:t>
            </w:r>
          </w:p>
          <w:p w14:paraId="1C2B930E">
            <w:pPr>
              <w:keepNext/>
              <w:keepLines/>
              <w:rPr>
                <w:rFonts w:hint="default" w:ascii="Times New Roman" w:hAnsi="Times New Roman" w:cs="Times New Roman"/>
                <w:sz w:val="20"/>
                <w:szCs w:val="20"/>
              </w:rPr>
            </w:pPr>
            <w:r>
              <w:rPr>
                <w:rFonts w:hint="default" w:ascii="Times New Roman" w:hAnsi="Times New Roman" w:cs="Times New Roman"/>
                <w:sz w:val="20"/>
                <w:szCs w:val="20"/>
              </w:rPr>
              <w:t>The inter-frequency measurement requirements in clause 9.3.9 applies for the following scenarios:</w:t>
            </w:r>
          </w:p>
          <w:p w14:paraId="4EB53030">
            <w:pPr>
              <w:pStyle w:val="1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SSB-based inter-frequency measurement with no measurement gap, when none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rPr>
              <w:t>concurrent measurement gaps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if</w:t>
            </w:r>
            <w:r>
              <w:rPr>
                <w:rFonts w:hint="default" w:ascii="Times New Roman" w:hAnsi="Times New Roman" w:cs="Times New Roman"/>
                <w:sz w:val="20"/>
                <w:szCs w:val="20"/>
                <w:lang w:eastAsia="zh-CN"/>
              </w:rPr>
              <w:t xml:space="preserve"> UE </w:t>
            </w:r>
            <w:r>
              <w:rPr>
                <w:rFonts w:hint="default" w:ascii="Times New Roman" w:hAnsi="Times New Roman" w:cs="Times New Roman"/>
                <w:sz w:val="20"/>
                <w:szCs w:val="20"/>
                <w:lang w:eastAsia="zh-TW"/>
              </w:rPr>
              <w:t xml:space="preserve">supports </w:t>
            </w:r>
            <w:r>
              <w:rPr>
                <w:rFonts w:hint="default" w:ascii="Times New Roman" w:hAnsi="Times New Roman" w:cs="Times New Roman"/>
                <w:i/>
                <w:sz w:val="20"/>
                <w:szCs w:val="20"/>
                <w:lang w:eastAsia="zh-TW"/>
              </w:rPr>
              <w:t>interFrequencyMeas-NoGap-r16</w:t>
            </w:r>
            <w:r>
              <w:rPr>
                <w:rFonts w:hint="default" w:ascii="Times New Roman" w:hAnsi="Times New Roman" w:cs="Times New Roman"/>
                <w:sz w:val="20"/>
                <w:szCs w:val="20"/>
                <w:lang w:eastAsia="zh-TW"/>
              </w:rPr>
              <w:t xml:space="preserve"> and the flag </w:t>
            </w:r>
            <w:r>
              <w:rPr>
                <w:rFonts w:hint="default" w:ascii="Times New Roman" w:hAnsi="Times New Roman" w:cs="Times New Roman"/>
                <w:i/>
                <w:sz w:val="20"/>
                <w:szCs w:val="20"/>
                <w:lang w:eastAsia="zh-TW"/>
              </w:rPr>
              <w:t>interFrequencyConfig-NoGap-r16</w:t>
            </w:r>
            <w:r>
              <w:rPr>
                <w:rFonts w:hint="default" w:ascii="Times New Roman" w:hAnsi="Times New Roman" w:cs="Times New Roman"/>
                <w:sz w:val="20"/>
                <w:szCs w:val="20"/>
                <w:lang w:eastAsia="zh-TW"/>
              </w:rPr>
              <w:t xml:space="preserve"> is configured by the Network</w:t>
            </w:r>
            <w:r>
              <w:rPr>
                <w:rFonts w:hint="default" w:ascii="Times New Roman" w:hAnsi="Times New Roman" w:cs="Times New Roman"/>
                <w:sz w:val="20"/>
                <w:szCs w:val="20"/>
                <w:lang w:eastAsia="zh-CN"/>
              </w:rPr>
              <w:t>.</w:t>
            </w:r>
          </w:p>
          <w:p w14:paraId="180692CF">
            <w:pPr>
              <w:pStyle w:val="1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SSB-based inter-frequency measurement with no measurement gap, when part of the SMTC occasions of this inter-frequency measurement object are overlapped by the measurement gap or the union of concurrent measurement gaps, if UE supports </w:t>
            </w:r>
            <w:r>
              <w:rPr>
                <w:rFonts w:hint="default" w:ascii="Times New Roman" w:hAnsi="Times New Roman" w:cs="Times New Roman"/>
                <w:i/>
                <w:iCs/>
                <w:sz w:val="20"/>
                <w:szCs w:val="20"/>
                <w:lang w:eastAsia="zh-CN"/>
              </w:rPr>
              <w:t>interFrequencyMeas-NoGap-r16</w:t>
            </w:r>
            <w:r>
              <w:rPr>
                <w:rFonts w:hint="default" w:ascii="Times New Roman" w:hAnsi="Times New Roman" w:cs="Times New Roman"/>
                <w:sz w:val="20"/>
                <w:szCs w:val="20"/>
                <w:lang w:eastAsia="zh-CN"/>
              </w:rPr>
              <w:t xml:space="preserve"> and the flag </w:t>
            </w:r>
            <w:r>
              <w:rPr>
                <w:rFonts w:hint="default" w:ascii="Times New Roman" w:hAnsi="Times New Roman" w:cs="Times New Roman"/>
                <w:i/>
                <w:iCs/>
                <w:sz w:val="20"/>
                <w:szCs w:val="20"/>
                <w:lang w:eastAsia="zh-CN"/>
              </w:rPr>
              <w:t>interFrequencyConfig-NoGap-r16</w:t>
            </w:r>
            <w:r>
              <w:rPr>
                <w:rFonts w:hint="default" w:ascii="Times New Roman" w:hAnsi="Times New Roman" w:cs="Times New Roman"/>
                <w:sz w:val="20"/>
                <w:szCs w:val="20"/>
                <w:lang w:eastAsia="zh-CN"/>
              </w:rPr>
              <w:t xml:space="preserve"> is configured by the Network.</w:t>
            </w:r>
          </w:p>
          <w:p w14:paraId="35D712EC">
            <w:pPr>
              <w:pStyle w:val="1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SSB-based inter-frequency measurement with no measurement gap, when none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rPr>
              <w:t>concurrent measurement gaps or MUSIM gaps if MUSIM gaps are configured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if</w:t>
            </w:r>
            <w:r>
              <w:rPr>
                <w:rFonts w:hint="default" w:ascii="Times New Roman" w:hAnsi="Times New Roman" w:cs="Times New Roman"/>
                <w:sz w:val="20"/>
                <w:szCs w:val="20"/>
                <w:lang w:eastAsia="zh-CN"/>
              </w:rPr>
              <w:t xml:space="preserve"> UE </w:t>
            </w:r>
            <w:r>
              <w:rPr>
                <w:rFonts w:hint="default" w:ascii="Times New Roman" w:hAnsi="Times New Roman" w:cs="Times New Roman"/>
                <w:sz w:val="20"/>
                <w:szCs w:val="20"/>
                <w:lang w:eastAsia="zh-TW"/>
              </w:rPr>
              <w:t xml:space="preserve">supports </w:t>
            </w:r>
            <w:r>
              <w:rPr>
                <w:rFonts w:hint="default" w:ascii="Times New Roman" w:hAnsi="Times New Roman" w:cs="Times New Roman"/>
                <w:i/>
                <w:sz w:val="20"/>
                <w:szCs w:val="20"/>
                <w:lang w:eastAsia="zh-TW"/>
              </w:rPr>
              <w:t>interFrequencyMeas-NoGap-r16</w:t>
            </w:r>
            <w:r>
              <w:rPr>
                <w:rFonts w:hint="default" w:ascii="Times New Roman" w:hAnsi="Times New Roman" w:cs="Times New Roman"/>
                <w:sz w:val="20"/>
                <w:szCs w:val="20"/>
                <w:lang w:eastAsia="zh-TW"/>
              </w:rPr>
              <w:t xml:space="preserve"> and the flag </w:t>
            </w:r>
            <w:r>
              <w:rPr>
                <w:rFonts w:hint="default" w:ascii="Times New Roman" w:hAnsi="Times New Roman" w:cs="Times New Roman"/>
                <w:i/>
                <w:sz w:val="20"/>
                <w:szCs w:val="20"/>
                <w:lang w:eastAsia="zh-TW"/>
              </w:rPr>
              <w:t>interFrequencyConfig-NoGap-r16</w:t>
            </w:r>
            <w:r>
              <w:rPr>
                <w:rFonts w:hint="default" w:ascii="Times New Roman" w:hAnsi="Times New Roman" w:cs="Times New Roman"/>
                <w:sz w:val="20"/>
                <w:szCs w:val="20"/>
                <w:lang w:eastAsia="zh-TW"/>
              </w:rPr>
              <w:t xml:space="preserve"> is configured by the Network</w:t>
            </w:r>
            <w:r>
              <w:rPr>
                <w:rFonts w:hint="default" w:ascii="Times New Roman" w:hAnsi="Times New Roman" w:cs="Times New Roman"/>
                <w:sz w:val="20"/>
                <w:szCs w:val="20"/>
                <w:lang w:eastAsia="zh-CN"/>
              </w:rPr>
              <w:t>.</w:t>
            </w:r>
          </w:p>
          <w:p w14:paraId="469AA5CA">
            <w:pPr>
              <w:pStyle w:val="1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SSB-based inter-frequency measurement with no measurement gap, when part of the SMTC occasions of this inter-frequency measurement object are overlapped by the measurement gap or the union of concurrent measurement gaps or MUSIM gaps if MUSIM gaps are configured, if UE supports </w:t>
            </w:r>
            <w:r>
              <w:rPr>
                <w:rFonts w:hint="default" w:ascii="Times New Roman" w:hAnsi="Times New Roman" w:cs="Times New Roman"/>
                <w:i/>
                <w:iCs/>
                <w:sz w:val="20"/>
                <w:szCs w:val="20"/>
                <w:lang w:eastAsia="zh-CN"/>
              </w:rPr>
              <w:t>interFrequencyMeas-NoGap-r16</w:t>
            </w:r>
            <w:r>
              <w:rPr>
                <w:rFonts w:hint="default" w:ascii="Times New Roman" w:hAnsi="Times New Roman" w:cs="Times New Roman"/>
                <w:sz w:val="20"/>
                <w:szCs w:val="20"/>
                <w:lang w:eastAsia="zh-CN"/>
              </w:rPr>
              <w:t xml:space="preserve"> and the flag </w:t>
            </w:r>
            <w:r>
              <w:rPr>
                <w:rFonts w:hint="default" w:ascii="Times New Roman" w:hAnsi="Times New Roman" w:cs="Times New Roman"/>
                <w:i/>
                <w:iCs/>
                <w:sz w:val="20"/>
                <w:szCs w:val="20"/>
                <w:lang w:eastAsia="zh-CN"/>
              </w:rPr>
              <w:t>interFrequencyConfig-NoGap-r16</w:t>
            </w:r>
            <w:r>
              <w:rPr>
                <w:rFonts w:hint="default" w:ascii="Times New Roman" w:hAnsi="Times New Roman" w:cs="Times New Roman"/>
                <w:sz w:val="20"/>
                <w:szCs w:val="20"/>
                <w:lang w:eastAsia="zh-CN"/>
              </w:rPr>
              <w:t xml:space="preserve"> is configured by the Network.</w:t>
            </w:r>
          </w:p>
          <w:p w14:paraId="4F3ABBDB">
            <w:pPr>
              <w:pStyle w:val="17"/>
              <w:ind w:left="567"/>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for UE indicating </w:t>
            </w:r>
            <w:r>
              <w:rPr>
                <w:rFonts w:hint="default" w:ascii="Times New Roman" w:hAnsi="Times New Roman" w:cs="Times New Roman"/>
                <w:i/>
                <w:iCs/>
                <w:sz w:val="20"/>
                <w:szCs w:val="20"/>
                <w:lang w:eastAsia="zh-CN"/>
              </w:rPr>
              <w:t>NeedForInterruptionInfoNR-r18</w:t>
            </w:r>
            <w:r>
              <w:rPr>
                <w:rFonts w:hint="default" w:ascii="Times New Roman" w:hAnsi="Times New Roman" w:cs="Times New Roman"/>
                <w:sz w:val="20"/>
                <w:szCs w:val="20"/>
              </w:rPr>
              <w:t>, when</w:t>
            </w:r>
          </w:p>
          <w:p w14:paraId="49893EC8">
            <w:pPr>
              <w:pStyle w:val="19"/>
              <w:ind w:left="85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none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rPr>
              <w:t>concurrent measurement gaps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eastAsia="zh-CN"/>
              </w:rPr>
              <w:t xml:space="preserve"> and no-gap-with-interruption or no-gap-no-interruption via </w:t>
            </w:r>
            <w:r>
              <w:rPr>
                <w:rFonts w:hint="default" w:ascii="Times New Roman" w:hAnsi="Times New Roman" w:cs="Times New Roman"/>
                <w:i/>
                <w:sz w:val="20"/>
                <w:szCs w:val="20"/>
                <w:lang w:eastAsia="zh-CN"/>
              </w:rPr>
              <w:t>NeedForInterruptionInfoNR</w:t>
            </w:r>
            <w:r>
              <w:rPr>
                <w:rFonts w:hint="default" w:ascii="Times New Roman" w:hAnsi="Times New Roman" w:cs="Times New Roman"/>
                <w:sz w:val="20"/>
                <w:szCs w:val="20"/>
                <w:lang w:eastAsia="zh-CN"/>
              </w:rPr>
              <w:t xml:space="preserve"> for the inter-frequency measurement.</w:t>
            </w:r>
          </w:p>
          <w:p w14:paraId="59BC7BA7">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part of the SMTC occasions of this inter-frequency measurement object are overlapped by the measurement gap or the union of concurrent measurement gaps, </w:t>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eastAsia="zh-CN"/>
              </w:rPr>
              <w:t xml:space="preserve"> and no-gap-no-interruption via </w:t>
            </w:r>
            <w:r>
              <w:rPr>
                <w:rFonts w:hint="default" w:ascii="Times New Roman" w:hAnsi="Times New Roman" w:cs="Times New Roman"/>
                <w:i/>
                <w:sz w:val="20"/>
                <w:szCs w:val="20"/>
                <w:lang w:eastAsia="zh-CN"/>
              </w:rPr>
              <w:t xml:space="preserve">NeedForInterruptionInfoNR </w:t>
            </w:r>
            <w:r>
              <w:rPr>
                <w:rFonts w:hint="default" w:ascii="Times New Roman" w:hAnsi="Times New Roman" w:cs="Times New Roman"/>
                <w:sz w:val="20"/>
                <w:szCs w:val="20"/>
                <w:lang w:eastAsia="zh-CN"/>
              </w:rPr>
              <w:t>for the inter-frequency measurement.</w:t>
            </w:r>
          </w:p>
          <w:p w14:paraId="22138A49">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zh-CN"/>
              </w:rPr>
              <w:t>none of the SMTC occasions of this inter-frequency measurement object are overlapped by the measurement gap</w:t>
            </w:r>
            <w:r>
              <w:rPr>
                <w:rFonts w:hint="default" w:ascii="Times New Roman" w:hAnsi="Times New Roman" w:cs="Times New Roman"/>
                <w:sz w:val="20"/>
                <w:szCs w:val="20"/>
                <w:lang w:eastAsia="en-GB"/>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lang w:eastAsia="en-GB"/>
              </w:rPr>
              <w:t>concurrent measurement gaps or MUSIM gaps if MUSIM gaps are configured,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eastAsia="en-GB"/>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iCs/>
                <w:sz w:val="20"/>
                <w:szCs w:val="20"/>
                <w:lang w:val="en-US" w:eastAsia="zh-CN"/>
              </w:rPr>
              <w:t>NeedForGap-InfoNR</w:t>
            </w:r>
            <w:r>
              <w:rPr>
                <w:rFonts w:hint="default" w:ascii="Times New Roman" w:hAnsi="Times New Roman" w:cs="Times New Roman"/>
                <w:sz w:val="20"/>
                <w:szCs w:val="20"/>
                <w:lang w:eastAsia="zh-CN"/>
              </w:rPr>
              <w:t xml:space="preserve"> and ‘</w:t>
            </w:r>
            <w:r>
              <w:rPr>
                <w:rFonts w:hint="default" w:ascii="Times New Roman" w:hAnsi="Times New Roman" w:cs="Times New Roman"/>
                <w:i/>
                <w:sz w:val="20"/>
                <w:szCs w:val="20"/>
                <w:lang w:eastAsia="zh-CN"/>
              </w:rPr>
              <w:t>no-gap-with-interruption</w:t>
            </w:r>
            <w:r>
              <w:rPr>
                <w:rFonts w:hint="default" w:ascii="Times New Roman" w:hAnsi="Times New Roman" w:cs="Times New Roman"/>
                <w:sz w:val="20"/>
                <w:szCs w:val="20"/>
                <w:lang w:eastAsia="zh-CN"/>
              </w:rPr>
              <w:t>’ or ‘</w:t>
            </w:r>
            <w:r>
              <w:rPr>
                <w:rFonts w:hint="default" w:ascii="Times New Roman" w:hAnsi="Times New Roman" w:cs="Times New Roman"/>
                <w:i/>
                <w:sz w:val="20"/>
                <w:szCs w:val="20"/>
                <w:lang w:eastAsia="zh-CN"/>
              </w:rPr>
              <w:t>no-gap-no-interruption</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via </w:t>
            </w:r>
            <w:r>
              <w:rPr>
                <w:rFonts w:hint="default" w:ascii="Times New Roman" w:hAnsi="Times New Roman" w:cs="Times New Roman"/>
                <w:i/>
                <w:sz w:val="20"/>
                <w:szCs w:val="20"/>
                <w:lang w:eastAsia="zh-CN"/>
              </w:rPr>
              <w:t>NeedForInterruptionInfoNR-r18</w:t>
            </w:r>
            <w:r>
              <w:rPr>
                <w:rFonts w:hint="default" w:ascii="Times New Roman" w:hAnsi="Times New Roman" w:cs="Times New Roman"/>
                <w:sz w:val="20"/>
                <w:szCs w:val="20"/>
                <w:lang w:eastAsia="zh-CN"/>
              </w:rPr>
              <w:t xml:space="preserve"> for the inter-frequency measurement.</w:t>
            </w:r>
          </w:p>
          <w:p w14:paraId="1C2DBF60">
            <w:pPr>
              <w:pStyle w:val="18"/>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part of the SMTC occasions of this inter-frequency measurement object are overlapped by the measurement gap or the union of concurrent measurement gaps or MUSIM gaps if MUSIM gaps are configured, </w:t>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iCs/>
                <w:sz w:val="20"/>
                <w:szCs w:val="20"/>
                <w:lang w:eastAsia="zh-CN"/>
              </w:rPr>
              <w:t>NeedForGap-InfoNR</w:t>
            </w:r>
            <w:r>
              <w:rPr>
                <w:rFonts w:hint="default" w:ascii="Times New Roman" w:hAnsi="Times New Roman" w:cs="Times New Roman"/>
                <w:sz w:val="20"/>
                <w:szCs w:val="20"/>
                <w:lang w:eastAsia="zh-CN"/>
              </w:rPr>
              <w:t xml:space="preserve"> for the inter-frequency measurement.</w:t>
            </w:r>
          </w:p>
          <w:p w14:paraId="7BF1CA58">
            <w:pPr>
              <w:spacing w:after="180" w:line="240" w:lineRule="exact"/>
              <w:rPr>
                <w:rFonts w:hint="default" w:ascii="Times New Roman" w:hAnsi="Times New Roman" w:eastAsia="等线" w:cs="Times New Roman"/>
                <w:bCs/>
                <w:iCs/>
                <w:sz w:val="20"/>
                <w:szCs w:val="20"/>
                <w:vertAlign w:val="baseline"/>
                <w:lang w:val="en-US" w:eastAsia="zh-CN"/>
              </w:rPr>
            </w:pPr>
          </w:p>
        </w:tc>
      </w:tr>
    </w:tbl>
    <w:p w14:paraId="7A05CFE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 </w:t>
      </w:r>
    </w:p>
    <w:p w14:paraId="52D4461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our view, this is about UE implementation. We are not sure it is good to still have the same assumption as 5G, since it is expected 6GR is enhanced compared with NR. For 6GR, it is preferred not to consider interruption for measurement without gap, which is beneficial for throughput improvement, and also simplify RAN4 discussion and requirements definition.    </w:t>
      </w:r>
    </w:p>
    <w:p w14:paraId="1940832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6GR, it is proposed to assume no interruption for measurement without gap including </w:t>
      </w:r>
      <w:r>
        <w:rPr>
          <w:rFonts w:hint="default" w:ascii="Times New Roman" w:hAnsi="Times New Roman" w:cs="Times New Roman"/>
          <w:b/>
          <w:bCs w:val="0"/>
          <w:i/>
          <w:iCs w:val="0"/>
          <w:sz w:val="20"/>
          <w:szCs w:val="20"/>
          <w:lang w:eastAsia="zh-CN"/>
        </w:rPr>
        <w:t>NCSG</w:t>
      </w:r>
      <w:r>
        <w:rPr>
          <w:rFonts w:hint="eastAsia" w:ascii="Times New Roman" w:hAnsi="Times New Roman" w:cs="Times New Roman"/>
          <w:b/>
          <w:bCs w:val="0"/>
          <w:i/>
          <w:iCs w:val="0"/>
          <w:sz w:val="20"/>
          <w:szCs w:val="20"/>
          <w:lang w:val="en-US" w:eastAsia="zh-CN"/>
        </w:rPr>
        <w:t xml:space="preserve"> and</w:t>
      </w:r>
      <w:r>
        <w:rPr>
          <w:rFonts w:hint="eastAsia" w:ascii="Times New Roman" w:hAnsi="Times New Roman" w:eastAsia="等线"/>
          <w:b/>
          <w:bCs w:val="0"/>
          <w:i/>
          <w:iCs w:val="0"/>
          <w:sz w:val="20"/>
          <w:szCs w:val="20"/>
          <w:lang w:val="en-US" w:eastAsia="zh-CN"/>
        </w:rPr>
        <w:t xml:space="preserve"> </w:t>
      </w:r>
      <w:r>
        <w:rPr>
          <w:rFonts w:hint="eastAsia" w:ascii="Times New Roman" w:hAnsi="Times New Roman" w:cs="Times New Roman"/>
          <w:b/>
          <w:bCs w:val="0"/>
          <w:i/>
          <w:iCs w:val="0"/>
          <w:sz w:val="20"/>
          <w:szCs w:val="20"/>
          <w:lang w:val="en-US" w:eastAsia="zh-CN"/>
        </w:rPr>
        <w:t>NeedForGap</w:t>
      </w:r>
      <w:r>
        <w:rPr>
          <w:rFonts w:hint="eastAsia" w:ascii="Times New Roman" w:hAnsi="Times New Roman" w:eastAsia="等线"/>
          <w:b/>
          <w:bCs w:val="0"/>
          <w:i/>
          <w:iCs w:val="0"/>
          <w:sz w:val="20"/>
          <w:szCs w:val="20"/>
          <w:lang w:val="en-US" w:eastAsia="zh-CN"/>
        </w:rPr>
        <w:t>.</w:t>
      </w:r>
    </w:p>
    <w:p w14:paraId="1BBCC91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important feature is parallel measurement. For NTN, parallel measurement is supported. In detail, </w:t>
      </w:r>
      <w:r>
        <w:rPr>
          <w:rFonts w:hint="eastAsia" w:ascii="Times New Roman" w:hAnsi="Times New Roman" w:eastAsia="等线"/>
          <w:bCs/>
          <w:i/>
          <w:iCs w:val="0"/>
          <w:sz w:val="20"/>
          <w:szCs w:val="20"/>
          <w:lang w:val="en-US" w:eastAsia="zh-CN"/>
        </w:rPr>
        <w:t>parallelSMTC-r17</w:t>
      </w:r>
      <w:r>
        <w:rPr>
          <w:rFonts w:hint="eastAsia" w:ascii="Times New Roman" w:hAnsi="Times New Roman" w:eastAsia="等线"/>
          <w:bCs/>
          <w:iCs/>
          <w:sz w:val="20"/>
          <w:szCs w:val="20"/>
          <w:lang w:val="en-US" w:eastAsia="zh-CN"/>
        </w:rPr>
        <w:t xml:space="preserve"> (Parallel measurements on multiple SMTC-s for a single frequency carrier), </w:t>
      </w:r>
      <w:r>
        <w:rPr>
          <w:rFonts w:hint="eastAsia" w:ascii="Times New Roman" w:hAnsi="Times New Roman" w:eastAsia="等线"/>
          <w:bCs/>
          <w:i/>
          <w:iCs w:val="0"/>
          <w:sz w:val="20"/>
          <w:szCs w:val="20"/>
          <w:lang w:val="en-US" w:eastAsia="zh-CN"/>
        </w:rPr>
        <w:t>parallelMeasurementGap-r17</w:t>
      </w:r>
      <w:r>
        <w:rPr>
          <w:rFonts w:hint="eastAsia" w:ascii="Times New Roman" w:hAnsi="Times New Roman" w:eastAsia="等线"/>
          <w:bCs/>
          <w:iCs/>
          <w:sz w:val="20"/>
          <w:szCs w:val="20"/>
          <w:lang w:val="en-US" w:eastAsia="zh-CN"/>
        </w:rPr>
        <w:t xml:space="preserve"> (Parallel measurements with multiple measurement gaps), </w:t>
      </w:r>
      <w:r>
        <w:rPr>
          <w:rFonts w:hint="eastAsia" w:ascii="Times New Roman" w:hAnsi="Times New Roman" w:eastAsia="等线"/>
          <w:bCs/>
          <w:i/>
          <w:iCs w:val="0"/>
          <w:sz w:val="20"/>
          <w:szCs w:val="20"/>
          <w:lang w:val="en-US" w:eastAsia="zh-CN"/>
        </w:rPr>
        <w:t>parallelMeasurementWithoutRestriction-r17</w:t>
      </w:r>
      <w:r>
        <w:rPr>
          <w:rFonts w:hint="eastAsia" w:ascii="Times New Roman" w:hAnsi="Times New Roman" w:eastAsia="等线"/>
          <w:bCs/>
          <w:iCs/>
          <w:sz w:val="20"/>
          <w:szCs w:val="20"/>
          <w:lang w:val="en-US" w:eastAsia="zh-CN"/>
        </w:rPr>
        <w:t xml:space="preserve"> (Parallel measurements on cells belonging to a different NGSO satellite than a serving satellite without scheduling restrictions on normal operations with the serving cell), and </w:t>
      </w:r>
      <w:r>
        <w:rPr>
          <w:rFonts w:hint="eastAsia" w:ascii="Times New Roman" w:hAnsi="Times New Roman" w:eastAsia="等线"/>
          <w:bCs/>
          <w:i/>
          <w:iCs w:val="0"/>
          <w:sz w:val="20"/>
          <w:szCs w:val="20"/>
          <w:lang w:val="en-US" w:eastAsia="zh-CN"/>
        </w:rPr>
        <w:t>maxNumber-NGSO-SatellitesWithinOneSMTC-r17</w:t>
      </w:r>
      <w:r>
        <w:rPr>
          <w:rFonts w:hint="eastAsia" w:ascii="Times New Roman" w:hAnsi="Times New Roman" w:eastAsia="等线"/>
          <w:bCs/>
          <w:iCs/>
          <w:sz w:val="20"/>
          <w:szCs w:val="20"/>
          <w:lang w:val="en-US" w:eastAsia="zh-CN"/>
        </w:rPr>
        <w:t xml:space="preserve"> (Parallel measurements on multiple NGSO satellites within a SMTC) are considered. Taking </w:t>
      </w:r>
      <w:r>
        <w:rPr>
          <w:rFonts w:hint="eastAsia" w:ascii="Times New Roman" w:hAnsi="Times New Roman" w:eastAsia="等线"/>
          <w:bCs/>
          <w:i/>
          <w:iCs w:val="0"/>
          <w:sz w:val="20"/>
          <w:szCs w:val="20"/>
          <w:lang w:val="en-US" w:eastAsia="zh-CN"/>
        </w:rPr>
        <w:t>parallelMeasurementGap-r17</w:t>
      </w:r>
      <w:r>
        <w:rPr>
          <w:rFonts w:hint="eastAsia" w:ascii="Times New Roman" w:hAnsi="Times New Roman" w:eastAsia="等线"/>
          <w:bCs/>
          <w:iCs/>
          <w:sz w:val="20"/>
          <w:szCs w:val="20"/>
          <w:lang w:val="en-US" w:eastAsia="zh-CN"/>
        </w:rPr>
        <w:t xml:space="preserve"> (Parallel measurements with multiple measurement gaps) as an example, 2 is mandatory and 4 is optional. These parallel measurement for NTN need to be inherited from NR to 6GR.</w:t>
      </w:r>
    </w:p>
    <w:p w14:paraId="7EE03C1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TN, concurrent measurement gap is introduced in Rel-17. Concurrent gaps enable different gap configurations for different MOs, which could avoid the resource waste due to configure one MG with long MGRP and/or short MGRP try to cover as much MOs as possible. Concurrent gaps is also helpful in reducing measurement delay. It is proposed to consider concurrent measurement gap from 6G day-1.</w:t>
      </w:r>
    </w:p>
    <w:p w14:paraId="231F15AF">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However, parallel measurement for the colliding cases is not supported. Two gaps are considered as colliding when there is fully or partially overlapping between two gaps or no overlapping but the distance between two gaps is less than 4ms. For the colliding case, only one gap is kept based on priority, the other gap is dropped. It is proposed to support Parallel measurement for colliding gaps. On one hand, it is beneficial for both throughput and measurement delay reduction. On the other hand, this issue is also about searcher assumptions. For 6GR, we believe the assumption about searchers will be enhanced compared with NR, which enable the parallel measurement.</w:t>
      </w:r>
    </w:p>
    <w:p w14:paraId="2A2F86F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support concurrent measurement gaps from 6G day-1.</w:t>
      </w:r>
    </w:p>
    <w:p w14:paraId="158810A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it is proposed to support parallel measurement for the colliding measurement gaps.</w:t>
      </w:r>
    </w:p>
    <w:p w14:paraId="6D10E3A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Measurement gap has impact on throughput. </w:t>
      </w:r>
      <w:r>
        <w:rPr>
          <w:rFonts w:hint="eastAsia" w:ascii="Times New Roman" w:hAnsi="Times New Roman"/>
          <w:sz w:val="20"/>
          <w:szCs w:val="20"/>
          <w:lang w:val="en-US" w:eastAsia="zh-CN"/>
        </w:rPr>
        <w:t xml:space="preserve">During the measurement gaps, UE </w:t>
      </w:r>
      <w:r>
        <w:rPr>
          <w:rFonts w:hint="default" w:ascii="Times New Roman" w:hAnsi="Times New Roman"/>
          <w:sz w:val="20"/>
          <w:szCs w:val="20"/>
          <w:lang w:val="en-US" w:eastAsia="zh-CN"/>
        </w:rPr>
        <w:t>is not required to conduct reception/transmission from/to the serving cells except the reception of signals used for RRM measurement(s) and the signals used for random access procedure</w:t>
      </w:r>
      <w:r>
        <w:rPr>
          <w:rFonts w:hint="eastAsia" w:ascii="Times New Roman" w:hAnsi="Times New Roman"/>
          <w:sz w:val="20"/>
          <w:szCs w:val="20"/>
          <w:lang w:val="en-US" w:eastAsia="zh-CN"/>
        </w:rPr>
        <w:t xml:space="preserve">. How UE perform measurement is up to UE implementation, network has no information about whether measurement is performed in a certain measurement occasion. As a result, network will not schedule UE in any measurement gap occasion. </w:t>
      </w:r>
      <w:r>
        <w:rPr>
          <w:rFonts w:hint="eastAsia" w:ascii="Times New Roman" w:hAnsi="Times New Roman" w:eastAsia="等线"/>
          <w:bCs/>
          <w:iCs/>
          <w:sz w:val="20"/>
          <w:szCs w:val="20"/>
          <w:lang w:val="en-US" w:eastAsia="zh-CN"/>
        </w:rPr>
        <w:t xml:space="preserve">For a typical measurement gap configuration with 40ms MGRP and 6ms MGL, the data loss is 15%.  </w:t>
      </w:r>
    </w:p>
    <w:p w14:paraId="68B2987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Transmission/reception in measurement gaps (MG skipping/cancelling) is supported in Rel-19, but it is only limited to XR service. Dynamic indication is used to indicate whether to skip the first gap occasion after a minimum time offset required between the last symbol of the PDCCH carrying the indication and the start of corresponding skipped gap/restriction occasion indicated by the DCI. In addition, UAI about a ratio (R) of gap occasions that is recommended for cancellation during a time period of 1 s is introduced. MG skipping/cancelling is a good mechanism which is beneficial for throughput improvement. It is proposed to consider MG skipping/cancelling in 6GR, and MG skipping/cancelling is considered as a generic approach, i.e. it is applied to all the service, not limit to XR.</w:t>
      </w:r>
    </w:p>
    <w:p w14:paraId="607B1DF7">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7: it is proposed to consider MG skipping/cancelling from 6G day-1, and MG skipping/cancelling is a generic approach, not limit to XR. </w:t>
      </w:r>
    </w:p>
    <w:p w14:paraId="7502E53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 </w:t>
      </w:r>
    </w:p>
    <w:p w14:paraId="19B46A27">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 xml:space="preserve">2.3 Definition on intra-frequency/ inter-frequency measurement  </w:t>
      </w:r>
    </w:p>
    <w:p w14:paraId="6563271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One lesson learned from NR is that RAN4 spend a lot effort in the definition of intra-frequency/inter-frequency measurement, but the actual impact is only about how to categorize requirements from RAN4 perspective. And the tough discussion is repeated again and again for different type of measurement. Following is the summary of definition on intra-frequency/ inter-frequency measurement.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A72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245B8A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SSB based L3 measurement</w:t>
            </w:r>
          </w:p>
          <w:p w14:paraId="5B7849BB">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  </w:t>
            </w:r>
          </w:p>
          <w:p w14:paraId="4608591E">
            <w:pPr>
              <w:spacing w:after="180" w:line="240" w:lineRule="exact"/>
              <w:rPr>
                <w:rFonts w:hint="default" w:ascii="Times New Roman" w:hAnsi="Times New Roman" w:eastAsia="等线" w:cs="Times New Roman"/>
                <w:b/>
                <w:bCs w:val="0"/>
                <w:iCs/>
                <w:sz w:val="20"/>
                <w:szCs w:val="20"/>
                <w:vertAlign w:val="baseline"/>
                <w:lang w:val="en-US" w:eastAsia="zh-CN"/>
              </w:rPr>
            </w:pPr>
          </w:p>
          <w:p w14:paraId="12409158">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CSI-RS based L3 measurement</w:t>
            </w:r>
          </w:p>
          <w:p w14:paraId="2E0D36C7">
            <w:pPr>
              <w:tabs>
                <w:tab w:val="left" w:pos="0"/>
              </w:tabs>
              <w:rPr>
                <w:rFonts w:hint="default" w:ascii="Times New Roman" w:hAnsi="Times New Roman" w:cs="Times New Roman"/>
                <w:sz w:val="20"/>
                <w:szCs w:val="20"/>
                <w:lang w:eastAsia="ja-JP" w:bidi="hi-IN"/>
              </w:rPr>
            </w:pPr>
            <w:r>
              <w:rPr>
                <w:rFonts w:hint="default" w:ascii="Times New Roman" w:hAnsi="Times New Roman" w:cs="Times New Roman" w:eastAsiaTheme="minorEastAsia"/>
                <w:sz w:val="20"/>
                <w:szCs w:val="20"/>
                <w:lang w:eastAsia="zh-CN"/>
              </w:rPr>
              <w:t>A</w:t>
            </w:r>
            <w:r>
              <w:rPr>
                <w:rFonts w:hint="default" w:ascii="Times New Roman" w:hAnsi="Times New Roman" w:cs="Times New Roman"/>
                <w:sz w:val="20"/>
                <w:szCs w:val="20"/>
              </w:rPr>
              <w:t xml:space="preserve"> measurement is defined as a CSI-RS based intra-frequency measurement provided that:</w:t>
            </w:r>
          </w:p>
          <w:p w14:paraId="5FCF2ED3">
            <w:pPr>
              <w:pStyle w:val="17"/>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SCS of the CSI-RS resource of the neighbour cell configured for measurement is the same as </w:t>
            </w:r>
            <w:r>
              <w:rPr>
                <w:rFonts w:hint="default" w:ascii="Times New Roman" w:hAnsi="Times New Roman" w:cs="Times New Roman"/>
                <w:sz w:val="20"/>
                <w:szCs w:val="20"/>
                <w:lang w:eastAsia="zh-CN" w:bidi="hi-IN"/>
              </w:rPr>
              <w:t xml:space="preserve">the </w:t>
            </w:r>
            <w:r>
              <w:rPr>
                <w:rFonts w:hint="default" w:ascii="Times New Roman" w:hAnsi="Times New Roman" w:cs="Times New Roman"/>
                <w:sz w:val="20"/>
                <w:szCs w:val="20"/>
                <w:lang w:eastAsia="ja-JP" w:bidi="hi-IN"/>
              </w:rPr>
              <w:t>SCS of the CSI-RS resource on the serving cell indicated for measurement, and</w:t>
            </w:r>
          </w:p>
          <w:p w14:paraId="2A444F50">
            <w:pPr>
              <w:pStyle w:val="17"/>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CP type of the CSI-RS resource of neighbour cell configured for measurement </w:t>
            </w:r>
            <w:r>
              <w:rPr>
                <w:rFonts w:hint="default" w:ascii="Times New Roman" w:hAnsi="Times New Roman" w:cs="Times New Roman"/>
                <w:sz w:val="20"/>
                <w:szCs w:val="20"/>
                <w:lang w:eastAsia="zh-CN" w:bidi="hi-IN"/>
              </w:rPr>
              <w:t>is the same as the CP type of the CSI-RS resource of</w:t>
            </w:r>
            <w:r>
              <w:rPr>
                <w:rFonts w:hint="default" w:ascii="Times New Roman" w:hAnsi="Times New Roman" w:cs="Times New Roman"/>
                <w:sz w:val="20"/>
                <w:szCs w:val="20"/>
                <w:lang w:eastAsia="ja-JP" w:bidi="hi-IN"/>
              </w:rPr>
              <w:t xml:space="preserve"> </w:t>
            </w:r>
            <w:r>
              <w:rPr>
                <w:rFonts w:hint="default" w:ascii="Times New Roman" w:hAnsi="Times New Roman" w:cs="Times New Roman"/>
                <w:sz w:val="20"/>
                <w:szCs w:val="20"/>
                <w:lang w:eastAsia="zh-CN" w:bidi="hi-IN"/>
              </w:rPr>
              <w:t>the serving</w:t>
            </w:r>
            <w:r>
              <w:rPr>
                <w:rFonts w:hint="default" w:ascii="Times New Roman" w:hAnsi="Times New Roman" w:cs="Times New Roman"/>
                <w:sz w:val="20"/>
                <w:szCs w:val="20"/>
                <w:lang w:eastAsia="ja-JP" w:bidi="hi-IN"/>
              </w:rPr>
              <w:t xml:space="preserve"> cell indicated for measurement, and</w:t>
            </w:r>
          </w:p>
          <w:p w14:paraId="19A370CE">
            <w:pPr>
              <w:pStyle w:val="18"/>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It is applied for SCS = 60KHz</w:t>
            </w:r>
          </w:p>
          <w:p w14:paraId="2E2B3FEA">
            <w:pPr>
              <w:pStyle w:val="17"/>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 xml:space="preserve">the centre frequency of the CSI-RS resource of the neighbour cell configured for measurement is the same as </w:t>
            </w:r>
            <w:r>
              <w:rPr>
                <w:rFonts w:hint="default" w:ascii="Times New Roman" w:hAnsi="Times New Roman" w:cs="Times New Roman"/>
                <w:sz w:val="20"/>
                <w:szCs w:val="20"/>
                <w:lang w:eastAsia="zh-CN" w:bidi="hi-IN"/>
              </w:rPr>
              <w:t xml:space="preserve">the </w:t>
            </w:r>
            <w:r>
              <w:rPr>
                <w:rFonts w:hint="default" w:ascii="Times New Roman" w:hAnsi="Times New Roman" w:cs="Times New Roman"/>
                <w:sz w:val="20"/>
                <w:szCs w:val="20"/>
                <w:lang w:eastAsia="ja-JP" w:bidi="hi-IN"/>
              </w:rPr>
              <w:t>centre frequency of the CSI-RS resource of the serving cell indicated for measurement</w:t>
            </w:r>
          </w:p>
          <w:p w14:paraId="48EE2345">
            <w:pPr>
              <w:spacing w:after="180" w:line="240" w:lineRule="exact"/>
              <w:rPr>
                <w:rFonts w:hint="default" w:ascii="Times New Roman" w:hAnsi="Times New Roman" w:eastAsia="等线" w:cs="Times New Roman"/>
                <w:bCs/>
                <w:iCs/>
                <w:sz w:val="20"/>
                <w:szCs w:val="20"/>
                <w:vertAlign w:val="baseline"/>
                <w:lang w:val="en-US" w:eastAsia="zh-CN"/>
              </w:rPr>
            </w:pPr>
          </w:p>
          <w:p w14:paraId="06C2E86F">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SSB based L1 measurement</w:t>
            </w:r>
          </w:p>
          <w:p w14:paraId="1DF26394">
            <w:pPr>
              <w:rPr>
                <w:rFonts w:hint="default" w:ascii="Times New Roman" w:hAnsi="Times New Roman" w:cs="Times New Roman"/>
                <w:sz w:val="20"/>
                <w:szCs w:val="20"/>
              </w:rPr>
            </w:pPr>
            <w:r>
              <w:rPr>
                <w:rFonts w:hint="default" w:ascii="Times New Roman" w:hAnsi="Times New Roman" w:cs="Times New Roman"/>
                <w:sz w:val="20"/>
                <w:szCs w:val="20"/>
              </w:rPr>
              <w:t>A measurement is defined as an SSB based intra-frequency L1-RSRP measurement provided the centre frequency of the SSB of the serving cell and the centre frequency of the SSB of the neighbour cell are the same, and the subcarrier spacing of the two SSBs are also the same.</w:t>
            </w:r>
          </w:p>
          <w:p w14:paraId="16DEC63F">
            <w:pPr>
              <w:spacing w:after="180" w:line="240" w:lineRule="exact"/>
              <w:rPr>
                <w:rFonts w:hint="default" w:ascii="Times New Roman" w:hAnsi="Times New Roman" w:eastAsia="等线" w:cs="Times New Roman"/>
                <w:bCs/>
                <w:iCs/>
                <w:sz w:val="20"/>
                <w:szCs w:val="20"/>
                <w:vertAlign w:val="baseline"/>
                <w:lang w:val="en-US" w:eastAsia="zh-CN"/>
              </w:rPr>
            </w:pPr>
          </w:p>
          <w:p w14:paraId="65AB0AF0">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CSI-RS based L1 measurement</w:t>
            </w:r>
          </w:p>
          <w:p w14:paraId="515BFBAF">
            <w:pPr>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A measurement is defined as a CSI-RS based intra-frequency L1-RSRP measurement provided </w:t>
            </w:r>
            <w:r>
              <w:rPr>
                <w:rFonts w:hint="default" w:ascii="Times New Roman" w:hAnsi="Times New Roman" w:cs="Times New Roman"/>
                <w:sz w:val="20"/>
                <w:szCs w:val="20"/>
                <w:lang w:eastAsia="zh-CN"/>
              </w:rPr>
              <w:t>that:</w:t>
            </w:r>
          </w:p>
          <w:p w14:paraId="50D351C6">
            <w:pPr>
              <w:pStyle w:val="17"/>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the SCS of the CSI-RS resource of LTM candidate cell(s) configured for L1 measurement is the same as the SCS of active DL BWP, and</w:t>
            </w:r>
          </w:p>
          <w:p w14:paraId="55F4F3AB">
            <w:pPr>
              <w:pStyle w:val="17"/>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for SCS of 60KHz, the CP type of the CSI-RS resource of LTM candidate cell(s) configured for L1 measurement is the same as the CP type of active DL BWP, and</w:t>
            </w:r>
          </w:p>
          <w:p w14:paraId="3134BFB0">
            <w:pPr>
              <w:pStyle w:val="17"/>
              <w:rPr>
                <w:rFonts w:hint="default" w:ascii="Times New Roman" w:hAnsi="Times New Roman" w:cs="Times New Roman"/>
                <w:sz w:val="20"/>
                <w:szCs w:val="20"/>
                <w:lang w:eastAsia="ja-JP" w:bidi="hi-IN"/>
              </w:rPr>
            </w:pPr>
            <w:r>
              <w:rPr>
                <w:rFonts w:hint="default" w:ascii="Times New Roman" w:hAnsi="Times New Roman" w:cs="Times New Roman"/>
                <w:sz w:val="20"/>
                <w:szCs w:val="20"/>
                <w:lang w:eastAsia="ja-JP" w:bidi="hi-IN"/>
              </w:rPr>
              <w:t>-</w:t>
            </w:r>
            <w:r>
              <w:rPr>
                <w:rFonts w:hint="default" w:ascii="Times New Roman" w:hAnsi="Times New Roman" w:cs="Times New Roman"/>
                <w:sz w:val="20"/>
                <w:szCs w:val="20"/>
                <w:lang w:eastAsia="ja-JP" w:bidi="hi-IN"/>
              </w:rPr>
              <w:tab/>
            </w:r>
            <w:r>
              <w:rPr>
                <w:rFonts w:hint="default" w:ascii="Times New Roman" w:hAnsi="Times New Roman" w:cs="Times New Roman"/>
                <w:sz w:val="20"/>
                <w:szCs w:val="20"/>
                <w:lang w:eastAsia="ja-JP" w:bidi="hi-IN"/>
              </w:rPr>
              <w:t>at least 48 RBs of the CSI-RS resource of LTM candidate cell(s) configured for L1 measurement is included within the active DL BWP.</w:t>
            </w:r>
          </w:p>
          <w:p w14:paraId="610680BE">
            <w:pPr>
              <w:spacing w:after="180" w:line="240" w:lineRule="exact"/>
              <w:rPr>
                <w:rFonts w:hint="default" w:ascii="Times New Roman" w:hAnsi="Times New Roman" w:eastAsia="等线" w:cs="Times New Roman"/>
                <w:bCs/>
                <w:iCs/>
                <w:sz w:val="20"/>
                <w:szCs w:val="20"/>
                <w:vertAlign w:val="baseline"/>
                <w:lang w:val="en-US" w:eastAsia="zh-CN"/>
              </w:rPr>
            </w:pPr>
          </w:p>
        </w:tc>
      </w:tr>
    </w:tbl>
    <w:p w14:paraId="41F41DA9">
      <w:pPr>
        <w:spacing w:after="180" w:line="240" w:lineRule="exact"/>
        <w:rPr>
          <w:rFonts w:hint="default" w:ascii="Times New Roman" w:hAnsi="Times New Roman" w:eastAsia="等线"/>
          <w:bCs/>
          <w:iCs/>
          <w:sz w:val="20"/>
          <w:szCs w:val="20"/>
          <w:lang w:val="en-US" w:eastAsia="zh-CN"/>
        </w:rPr>
      </w:pPr>
    </w:p>
    <w:p w14:paraId="52211F70">
      <w:pPr>
        <w:spacing w:after="180" w:line="240" w:lineRule="exact"/>
        <w:rPr>
          <w:rFonts w:hint="eastAsia" w:ascii="Times New Roman" w:hAnsi="Times New Roman" w:eastAsia="等线"/>
          <w:bCs/>
          <w:iCs/>
          <w:sz w:val="20"/>
          <w:szCs w:val="20"/>
          <w:vertAlign w:val="baseline"/>
          <w:lang w:val="en-US" w:eastAsia="zh-CN"/>
        </w:rPr>
      </w:pPr>
      <w:r>
        <w:rPr>
          <w:rFonts w:hint="eastAsia" w:ascii="Times New Roman" w:hAnsi="Times New Roman" w:eastAsia="等线"/>
          <w:bCs/>
          <w:iCs/>
          <w:sz w:val="20"/>
          <w:szCs w:val="20"/>
          <w:lang w:val="en-US" w:eastAsia="zh-CN"/>
        </w:rPr>
        <w:t>In our understanding, from RAN4 perspective, the original motivation to have definition on intra-frequency/ inter-frequency measurement is that it can be combined whether measurement gap is needed or not based on the measurement type. For LTE, for most cases, intra-frequency measurement means no measurement gap, inter-frequency measurement means measurement gap is needed. However, the situation is different for NR. Whether measurement gap is needed or not is not decided by the the intra-frequency measurement definition. The key point is whether target reference signal is within UE active BWP or not. Taking SSB based L3 measurement as an example, r</w:t>
      </w:r>
      <w:r>
        <w:rPr>
          <w:rFonts w:hint="default" w:ascii="Times New Roman" w:hAnsi="Times New Roman" w:eastAsia="等线"/>
          <w:bCs/>
          <w:iCs/>
          <w:sz w:val="20"/>
          <w:szCs w:val="20"/>
          <w:vertAlign w:val="baseline"/>
          <w:lang w:val="en-US" w:eastAsia="zh-CN"/>
        </w:rPr>
        <w:t>equirements are categorized into 4 cases: intra-f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without</w:t>
      </w:r>
      <w:r>
        <w:rPr>
          <w:rFonts w:hint="default" w:ascii="Times New Roman" w:hAnsi="Times New Roman" w:eastAsia="等线"/>
          <w:bCs/>
          <w:iCs/>
          <w:sz w:val="20"/>
          <w:szCs w:val="20"/>
          <w:vertAlign w:val="baseline"/>
          <w:lang w:val="en-US" w:eastAsia="zh-CN"/>
        </w:rPr>
        <w:t xml:space="preserve"> gap, intra-f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w:t>
      </w:r>
      <w:r>
        <w:rPr>
          <w:rFonts w:hint="default" w:ascii="Times New Roman" w:hAnsi="Times New Roman" w:eastAsia="等线"/>
          <w:bCs/>
          <w:iCs/>
          <w:sz w:val="20"/>
          <w:szCs w:val="20"/>
          <w:vertAlign w:val="baseline"/>
          <w:lang w:val="en-US" w:eastAsia="zh-CN"/>
        </w:rPr>
        <w:t xml:space="preserve"> gap, int</w:t>
      </w:r>
      <w:r>
        <w:rPr>
          <w:rFonts w:hint="eastAsia" w:ascii="Times New Roman" w:hAnsi="Times New Roman" w:eastAsia="等线"/>
          <w:bCs/>
          <w:iCs/>
          <w:sz w:val="20"/>
          <w:szCs w:val="20"/>
          <w:vertAlign w:val="baseline"/>
          <w:lang w:val="en-US" w:eastAsia="zh-CN"/>
        </w:rPr>
        <w:t>er</w:t>
      </w:r>
      <w:r>
        <w:rPr>
          <w:rFonts w:hint="default" w:ascii="Times New Roman" w:hAnsi="Times New Roman" w:eastAsia="等线"/>
          <w:bCs/>
          <w:iCs/>
          <w:sz w:val="20"/>
          <w:szCs w:val="20"/>
          <w:vertAlign w:val="baseline"/>
          <w:lang w:val="en-US" w:eastAsia="zh-CN"/>
        </w:rPr>
        <w:t>-f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without</w:t>
      </w:r>
      <w:r>
        <w:rPr>
          <w:rFonts w:hint="default" w:ascii="Times New Roman" w:hAnsi="Times New Roman" w:eastAsia="等线"/>
          <w:bCs/>
          <w:iCs/>
          <w:sz w:val="20"/>
          <w:szCs w:val="20"/>
          <w:vertAlign w:val="baseline"/>
          <w:lang w:val="en-US" w:eastAsia="zh-CN"/>
        </w:rPr>
        <w:t xml:space="preserve"> gap, int</w:t>
      </w:r>
      <w:r>
        <w:rPr>
          <w:rFonts w:hint="eastAsia" w:ascii="Times New Roman" w:hAnsi="Times New Roman" w:eastAsia="等线"/>
          <w:bCs/>
          <w:iCs/>
          <w:sz w:val="20"/>
          <w:szCs w:val="20"/>
          <w:vertAlign w:val="baseline"/>
          <w:lang w:val="en-US" w:eastAsia="zh-CN"/>
        </w:rPr>
        <w:t>er</w:t>
      </w:r>
      <w:r>
        <w:rPr>
          <w:rFonts w:hint="default" w:ascii="Times New Roman" w:hAnsi="Times New Roman" w:eastAsia="等线"/>
          <w:bCs/>
          <w:iCs/>
          <w:sz w:val="20"/>
          <w:szCs w:val="20"/>
          <w:vertAlign w:val="baseline"/>
          <w:lang w:val="en-US" w:eastAsia="zh-CN"/>
        </w:rPr>
        <w:t>-f</w:t>
      </w:r>
      <w:r>
        <w:rPr>
          <w:rFonts w:hint="eastAsia" w:ascii="Times New Roman" w:hAnsi="Times New Roman" w:eastAsia="等线"/>
          <w:bCs/>
          <w:iCs/>
          <w:sz w:val="20"/>
          <w:szCs w:val="20"/>
          <w:vertAlign w:val="baseline"/>
          <w:lang w:val="en-US" w:eastAsia="zh-CN"/>
        </w:rPr>
        <w:t>requency measurement</w:t>
      </w:r>
      <w:r>
        <w:rPr>
          <w:rFonts w:hint="default" w:ascii="Times New Roman" w:hAnsi="Times New Roman" w:eastAsia="等线"/>
          <w:bCs/>
          <w:iCs/>
          <w:sz w:val="20"/>
          <w:szCs w:val="20"/>
          <w:vertAlign w:val="baseline"/>
          <w:lang w:val="en-US" w:eastAsia="zh-CN"/>
        </w:rPr>
        <w:t xml:space="preserve"> </w:t>
      </w:r>
      <w:r>
        <w:rPr>
          <w:rFonts w:hint="eastAsia" w:ascii="Times New Roman" w:hAnsi="Times New Roman" w:eastAsia="等线"/>
          <w:bCs/>
          <w:iCs/>
          <w:sz w:val="20"/>
          <w:szCs w:val="20"/>
          <w:vertAlign w:val="baseline"/>
          <w:lang w:val="en-US" w:eastAsia="zh-CN"/>
        </w:rPr>
        <w:t>with</w:t>
      </w:r>
      <w:r>
        <w:rPr>
          <w:rFonts w:hint="default" w:ascii="Times New Roman" w:hAnsi="Times New Roman" w:eastAsia="等线"/>
          <w:bCs/>
          <w:iCs/>
          <w:sz w:val="20"/>
          <w:szCs w:val="20"/>
          <w:vertAlign w:val="baseline"/>
          <w:lang w:val="en-US" w:eastAsia="zh-CN"/>
        </w:rPr>
        <w:t xml:space="preserve"> gap</w:t>
      </w:r>
      <w:r>
        <w:rPr>
          <w:rFonts w:hint="eastAsia" w:ascii="Times New Roman" w:hAnsi="Times New Roman" w:eastAsia="等线"/>
          <w:bCs/>
          <w:iCs/>
          <w:sz w:val="20"/>
          <w:szCs w:val="20"/>
          <w:vertAlign w:val="baseline"/>
          <w:lang w:val="en-US" w:eastAsia="zh-CN"/>
        </w:rPr>
        <w:t>. This categorization results in a lot workload when discussing enhancement in later release.</w:t>
      </w:r>
    </w:p>
    <w:p w14:paraId="685F7F2A">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Observation 2: in NR, with the definition on </w:t>
      </w:r>
      <w:r>
        <w:rPr>
          <w:rFonts w:hint="eastAsia" w:ascii="Times New Roman" w:hAnsi="Times New Roman" w:eastAsia="等线"/>
          <w:b/>
          <w:bCs w:val="0"/>
          <w:i/>
          <w:iCs w:val="0"/>
          <w:sz w:val="20"/>
          <w:szCs w:val="20"/>
          <w:lang w:val="en-US" w:eastAsia="zh-CN"/>
        </w:rPr>
        <w:t>intra-frequency/inter-frequency measurement, measurement r</w:t>
      </w:r>
      <w:r>
        <w:rPr>
          <w:rFonts w:hint="default" w:ascii="Times New Roman" w:hAnsi="Times New Roman" w:eastAsia="等线"/>
          <w:b/>
          <w:bCs w:val="0"/>
          <w:i/>
          <w:iCs w:val="0"/>
          <w:sz w:val="20"/>
          <w:szCs w:val="20"/>
          <w:vertAlign w:val="baseline"/>
          <w:lang w:val="en-US" w:eastAsia="zh-CN"/>
        </w:rPr>
        <w:t>equirements are categorized into 4 cases: intra-f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without</w:t>
      </w:r>
      <w:r>
        <w:rPr>
          <w:rFonts w:hint="default" w:ascii="Times New Roman" w:hAnsi="Times New Roman" w:eastAsia="等线"/>
          <w:b/>
          <w:bCs w:val="0"/>
          <w:i/>
          <w:iCs w:val="0"/>
          <w:sz w:val="20"/>
          <w:szCs w:val="20"/>
          <w:vertAlign w:val="baseline"/>
          <w:lang w:val="en-US" w:eastAsia="zh-CN"/>
        </w:rPr>
        <w:t xml:space="preserve"> gap, intra-f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w:t>
      </w:r>
      <w:r>
        <w:rPr>
          <w:rFonts w:hint="default" w:ascii="Times New Roman" w:hAnsi="Times New Roman" w:eastAsia="等线"/>
          <w:b/>
          <w:bCs w:val="0"/>
          <w:i/>
          <w:iCs w:val="0"/>
          <w:sz w:val="20"/>
          <w:szCs w:val="20"/>
          <w:vertAlign w:val="baseline"/>
          <w:lang w:val="en-US" w:eastAsia="zh-CN"/>
        </w:rPr>
        <w:t xml:space="preserve"> gap, int</w:t>
      </w:r>
      <w:r>
        <w:rPr>
          <w:rFonts w:hint="eastAsia" w:ascii="Times New Roman" w:hAnsi="Times New Roman" w:eastAsia="等线"/>
          <w:b/>
          <w:bCs w:val="0"/>
          <w:i/>
          <w:iCs w:val="0"/>
          <w:sz w:val="20"/>
          <w:szCs w:val="20"/>
          <w:vertAlign w:val="baseline"/>
          <w:lang w:val="en-US" w:eastAsia="zh-CN"/>
        </w:rPr>
        <w:t>er</w:t>
      </w:r>
      <w:r>
        <w:rPr>
          <w:rFonts w:hint="default" w:ascii="Times New Roman" w:hAnsi="Times New Roman" w:eastAsia="等线"/>
          <w:b/>
          <w:bCs w:val="0"/>
          <w:i/>
          <w:iCs w:val="0"/>
          <w:sz w:val="20"/>
          <w:szCs w:val="20"/>
          <w:vertAlign w:val="baseline"/>
          <w:lang w:val="en-US" w:eastAsia="zh-CN"/>
        </w:rPr>
        <w:t>-f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without</w:t>
      </w:r>
      <w:r>
        <w:rPr>
          <w:rFonts w:hint="default" w:ascii="Times New Roman" w:hAnsi="Times New Roman" w:eastAsia="等线"/>
          <w:b/>
          <w:bCs w:val="0"/>
          <w:i/>
          <w:iCs w:val="0"/>
          <w:sz w:val="20"/>
          <w:szCs w:val="20"/>
          <w:vertAlign w:val="baseline"/>
          <w:lang w:val="en-US" w:eastAsia="zh-CN"/>
        </w:rPr>
        <w:t xml:space="preserve"> gap, int</w:t>
      </w:r>
      <w:r>
        <w:rPr>
          <w:rFonts w:hint="eastAsia" w:ascii="Times New Roman" w:hAnsi="Times New Roman" w:eastAsia="等线"/>
          <w:b/>
          <w:bCs w:val="0"/>
          <w:i/>
          <w:iCs w:val="0"/>
          <w:sz w:val="20"/>
          <w:szCs w:val="20"/>
          <w:vertAlign w:val="baseline"/>
          <w:lang w:val="en-US" w:eastAsia="zh-CN"/>
        </w:rPr>
        <w:t>er</w:t>
      </w:r>
      <w:r>
        <w:rPr>
          <w:rFonts w:hint="default" w:ascii="Times New Roman" w:hAnsi="Times New Roman" w:eastAsia="等线"/>
          <w:b/>
          <w:bCs w:val="0"/>
          <w:i/>
          <w:iCs w:val="0"/>
          <w:sz w:val="20"/>
          <w:szCs w:val="20"/>
          <w:vertAlign w:val="baseline"/>
          <w:lang w:val="en-US" w:eastAsia="zh-CN"/>
        </w:rPr>
        <w:t>-f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w:t>
      </w:r>
      <w:r>
        <w:rPr>
          <w:rFonts w:hint="default" w:ascii="Times New Roman" w:hAnsi="Times New Roman" w:eastAsia="等线"/>
          <w:b/>
          <w:bCs w:val="0"/>
          <w:i/>
          <w:iCs w:val="0"/>
          <w:sz w:val="20"/>
          <w:szCs w:val="20"/>
          <w:vertAlign w:val="baseline"/>
          <w:lang w:val="en-US" w:eastAsia="zh-CN"/>
        </w:rPr>
        <w:t xml:space="preserve"> gap</w:t>
      </w:r>
      <w:r>
        <w:rPr>
          <w:rFonts w:hint="eastAsia" w:ascii="Times New Roman" w:hAnsi="Times New Roman" w:eastAsia="等线"/>
          <w:b/>
          <w:bCs w:val="0"/>
          <w:i/>
          <w:iCs w:val="0"/>
          <w:sz w:val="20"/>
          <w:szCs w:val="20"/>
          <w:vertAlign w:val="baseline"/>
          <w:lang w:val="en-US" w:eastAsia="zh-CN"/>
        </w:rPr>
        <w:t xml:space="preserve">, which results in complex specification and increased RAN4 workload.   </w:t>
      </w:r>
    </w:p>
    <w:p w14:paraId="6946A57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6GR, one general issue nee to be careful considered is how to handle the definition on intra-frequency/ inter-frequency measurement. Do we need the definition. If the definition is only about requirements categorization, maybe no definition is also OK. One option is that no definition on intra-frequency/ inter-frequency measurement. RRM requirements are categorized as measurement with gap and measurement without gap. </w:t>
      </w:r>
    </w:p>
    <w:p w14:paraId="03086359">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it is proposed to discuss whether to have the definition on intra-frequency/ inter-frequency measurement in 6GR. Suggest to discuss whether following consideration is feasible</w:t>
      </w:r>
    </w:p>
    <w:p w14:paraId="15CE1B32">
      <w:pPr>
        <w:numPr>
          <w:ilvl w:val="0"/>
          <w:numId w:val="7"/>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no definition on intra-frequency/ inter-frequency measurement. RRM requirements are categorized as measurement with gap and measurement without gap </w:t>
      </w:r>
    </w:p>
    <w:p w14:paraId="4B0632E3">
      <w:pPr>
        <w:spacing w:after="180" w:line="240" w:lineRule="exact"/>
        <w:rPr>
          <w:rFonts w:hint="eastAsia" w:ascii="Times New Roman" w:hAnsi="Times New Roman" w:eastAsia="等线"/>
          <w:bCs/>
          <w:iCs/>
          <w:sz w:val="20"/>
          <w:szCs w:val="20"/>
          <w:lang w:val="en-US" w:eastAsia="zh-CN"/>
        </w:rPr>
      </w:pPr>
    </w:p>
    <w:p w14:paraId="7FDA71D7">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2.4 Unified L1 measurement and L3 measurement</w:t>
      </w:r>
    </w:p>
    <w:p w14:paraId="064328A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NR, both L3 based mobility and L1/L2-Triggered Mobility are supported. L3 based mobility is robust, while LTM could reduce the latency, overhead. It is proposed to consider both L3 based mobility and L1/L2-Triggered Mobility from 6G day-1.</w:t>
      </w:r>
    </w:p>
    <w:p w14:paraId="1926A71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NR, L3 based mobility and L1/L2-Triggered Mobility are independent. Taking intra-frequency measurements as an example, the requirements are duplicated as following. Table 9.2.5.2-1 is the requirements for L3 based measurement, Table 9.14.5.1-1 and Table 9.14.5.1-2 are the requirements for LTM.  </w:t>
      </w:r>
    </w:p>
    <w:p w14:paraId="72E8FD41">
      <w:pPr>
        <w:pStyle w:val="23"/>
      </w:pPr>
      <w:r>
        <w:t>Table 9.2.5.2-1: Measurement period for intra-frequency measurements without gaps (FR1)</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667F0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6F489129">
            <w:pPr>
              <w:pStyle w:val="24"/>
            </w:pPr>
            <w:r>
              <w:t>DRX cycle</w:t>
            </w:r>
          </w:p>
        </w:tc>
        <w:tc>
          <w:tcPr>
            <w:tcW w:w="6694" w:type="dxa"/>
            <w:tcBorders>
              <w:top w:val="single" w:color="auto" w:sz="4" w:space="0"/>
              <w:left w:val="single" w:color="auto" w:sz="4" w:space="0"/>
              <w:bottom w:val="single" w:color="auto" w:sz="4" w:space="0"/>
              <w:right w:val="single" w:color="auto" w:sz="4" w:space="0"/>
            </w:tcBorders>
          </w:tcPr>
          <w:p w14:paraId="4DF5B71F">
            <w:pPr>
              <w:pStyle w:val="24"/>
            </w:pPr>
            <w:r>
              <w:rPr>
                <w:lang w:eastAsia="en-GB"/>
              </w:rPr>
              <w:t>T</w:t>
            </w:r>
            <w:r>
              <w:rPr>
                <w:vertAlign w:val="subscript"/>
              </w:rPr>
              <w:t>SSB_measurement_period_intra</w:t>
            </w:r>
          </w:p>
        </w:tc>
      </w:tr>
      <w:tr w14:paraId="064A5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297EEBC">
            <w:pPr>
              <w:pStyle w:val="25"/>
            </w:pPr>
            <w:r>
              <w:t>No DRX</w:t>
            </w:r>
          </w:p>
        </w:tc>
        <w:tc>
          <w:tcPr>
            <w:tcW w:w="6694" w:type="dxa"/>
            <w:tcBorders>
              <w:top w:val="single" w:color="auto" w:sz="4" w:space="0"/>
              <w:left w:val="single" w:color="auto" w:sz="4" w:space="0"/>
              <w:bottom w:val="single" w:color="auto" w:sz="4" w:space="0"/>
              <w:right w:val="single" w:color="auto" w:sz="4" w:space="0"/>
            </w:tcBorders>
          </w:tcPr>
          <w:p w14:paraId="09AE7EFD">
            <w:pPr>
              <w:pStyle w:val="25"/>
            </w:pPr>
            <w:r>
              <w:t>max(200 ms, ceil( 5 x K</w:t>
            </w:r>
            <w:r>
              <w:rPr>
                <w:vertAlign w:val="subscript"/>
              </w:rPr>
              <w:t>p</w:t>
            </w:r>
            <w:r>
              <w:t>) x SMTC period)</w:t>
            </w:r>
            <w:r>
              <w:rPr>
                <w:vertAlign w:val="superscript"/>
              </w:rPr>
              <w:t>Note 1</w:t>
            </w:r>
            <w:r>
              <w:t xml:space="preserve"> x CSSF</w:t>
            </w:r>
            <w:r>
              <w:rPr>
                <w:vertAlign w:val="subscript"/>
              </w:rPr>
              <w:t>intra</w:t>
            </w:r>
          </w:p>
        </w:tc>
      </w:tr>
      <w:tr w14:paraId="1579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6D0A9332">
            <w:pPr>
              <w:pStyle w:val="25"/>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49BDE7FD">
            <w:pPr>
              <w:pStyle w:val="25"/>
              <w:rPr>
                <w:b/>
              </w:rPr>
            </w:pPr>
            <w:r>
              <w:t>max(200 ms, ceil(1.5x 5 x K</w:t>
            </w:r>
            <w:r>
              <w:rPr>
                <w:vertAlign w:val="subscript"/>
              </w:rPr>
              <w:t>p</w:t>
            </w:r>
            <w:r>
              <w:t>) x max(SMTC period,DRX cycle)) x CSSF</w:t>
            </w:r>
            <w:r>
              <w:rPr>
                <w:vertAlign w:val="subscript"/>
              </w:rPr>
              <w:t>intra</w:t>
            </w:r>
          </w:p>
        </w:tc>
      </w:tr>
      <w:tr w14:paraId="54FB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790C4397">
            <w:pPr>
              <w:pStyle w:val="25"/>
              <w:rPr>
                <w:b/>
              </w:rPr>
            </w:pPr>
            <w:r>
              <w:t>DRX cycle&gt;320 ms</w:t>
            </w:r>
          </w:p>
        </w:tc>
        <w:tc>
          <w:tcPr>
            <w:tcW w:w="6694" w:type="dxa"/>
            <w:tcBorders>
              <w:top w:val="single" w:color="auto" w:sz="4" w:space="0"/>
              <w:left w:val="single" w:color="auto" w:sz="4" w:space="0"/>
              <w:bottom w:val="single" w:color="auto" w:sz="4" w:space="0"/>
              <w:right w:val="single" w:color="auto" w:sz="4" w:space="0"/>
            </w:tcBorders>
          </w:tcPr>
          <w:p w14:paraId="6689F150">
            <w:pPr>
              <w:pStyle w:val="25"/>
              <w:rPr>
                <w:b/>
              </w:rPr>
            </w:pPr>
            <w:r>
              <w:t>ceil( 5 x K</w:t>
            </w:r>
            <w:r>
              <w:rPr>
                <w:vertAlign w:val="subscript"/>
              </w:rPr>
              <w:t xml:space="preserve">p </w:t>
            </w:r>
            <w:r>
              <w:t>) x DRX cycle x CSSF</w:t>
            </w:r>
            <w:r>
              <w:rPr>
                <w:vertAlign w:val="subscript"/>
              </w:rPr>
              <w:t>intra</w:t>
            </w:r>
          </w:p>
        </w:tc>
      </w:tr>
      <w:tr w14:paraId="0E7A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4DBE095D">
            <w:pPr>
              <w:pStyle w:val="27"/>
            </w:pPr>
            <w:r>
              <w:t>NOTE 1:</w:t>
            </w:r>
            <w:r>
              <w:tab/>
            </w:r>
            <w:r>
              <w:t>If different SMTC periodicities are configured for different cells, the SMTC period in the requirement is the one used by the cell being identified</w:t>
            </w:r>
          </w:p>
        </w:tc>
      </w:tr>
    </w:tbl>
    <w:p w14:paraId="51364A49">
      <w:pPr>
        <w:spacing w:after="180" w:line="240" w:lineRule="exact"/>
        <w:rPr>
          <w:rFonts w:hint="eastAsia" w:ascii="Times New Roman" w:hAnsi="Times New Roman" w:eastAsia="等线"/>
          <w:bCs/>
          <w:iCs/>
          <w:sz w:val="20"/>
          <w:szCs w:val="20"/>
          <w:lang w:val="en-US" w:eastAsia="zh-CN"/>
        </w:rPr>
      </w:pPr>
    </w:p>
    <w:p w14:paraId="0E929D6D">
      <w:pPr>
        <w:pStyle w:val="23"/>
      </w:pPr>
      <w:r>
        <w:t>Table 9.14.5.1-1: Intra-frequency L1-RSRP measurement period T</w:t>
      </w:r>
      <w:r>
        <w:rPr>
          <w:vertAlign w:val="subscript"/>
        </w:rPr>
        <w:t>L1-RSRP_Measurement_Period_SSB_intra</w:t>
      </w:r>
      <w:r>
        <w:t xml:space="preserve"> </w:t>
      </w:r>
      <w:r>
        <w:rPr>
          <w:lang w:eastAsia="zh-CN"/>
        </w:rPr>
        <w:t>in</w:t>
      </w:r>
      <w:r>
        <w:t xml:space="preserve"> FR1 for UE incapable of </w:t>
      </w:r>
      <w:r>
        <w:rPr>
          <w:i/>
          <w:iCs/>
        </w:rPr>
        <w:t>multiCellL1-measRTD-greaterThan-CP-r18</w:t>
      </w:r>
      <w:r>
        <w:rPr>
          <w:rFonts w:eastAsia="?? ??"/>
        </w:rPr>
        <w:t xml:space="preserve"> </w:t>
      </w:r>
    </w:p>
    <w:tbl>
      <w:tblPr>
        <w:tblStyle w:val="11"/>
        <w:tblW w:w="434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47"/>
        <w:gridCol w:w="5185"/>
      </w:tblGrid>
      <w:tr w14:paraId="4C5A5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2" w:type="pct"/>
            <w:tcBorders>
              <w:top w:val="single" w:color="auto" w:sz="4" w:space="0"/>
              <w:left w:val="single" w:color="auto" w:sz="4" w:space="0"/>
              <w:bottom w:val="single" w:color="auto" w:sz="4" w:space="0"/>
              <w:right w:val="single" w:color="auto" w:sz="4" w:space="0"/>
            </w:tcBorders>
          </w:tcPr>
          <w:p w14:paraId="29AE19CB">
            <w:pPr>
              <w:pStyle w:val="24"/>
            </w:pPr>
            <w:r>
              <w:t>Configuration</w:t>
            </w:r>
          </w:p>
        </w:tc>
        <w:tc>
          <w:tcPr>
            <w:tcW w:w="3228" w:type="pct"/>
            <w:tcBorders>
              <w:top w:val="single" w:color="auto" w:sz="4" w:space="0"/>
              <w:left w:val="single" w:color="auto" w:sz="4" w:space="0"/>
              <w:bottom w:val="single" w:color="auto" w:sz="4" w:space="0"/>
              <w:right w:val="single" w:color="auto" w:sz="4" w:space="0"/>
            </w:tcBorders>
          </w:tcPr>
          <w:p w14:paraId="17204742">
            <w:pPr>
              <w:pStyle w:val="24"/>
            </w:pPr>
            <w:r>
              <w:t>T</w:t>
            </w:r>
            <w:r>
              <w:rPr>
                <w:vertAlign w:val="subscript"/>
              </w:rPr>
              <w:t>L1-RSRP_Measurement_Period_SSB_intra</w:t>
            </w:r>
            <w:r>
              <w:t xml:space="preserve"> (ms) </w:t>
            </w:r>
          </w:p>
        </w:tc>
      </w:tr>
      <w:tr w14:paraId="05D78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2" w:type="pct"/>
            <w:tcBorders>
              <w:top w:val="single" w:color="auto" w:sz="4" w:space="0"/>
              <w:left w:val="single" w:color="auto" w:sz="4" w:space="0"/>
              <w:bottom w:val="single" w:color="auto" w:sz="4" w:space="0"/>
              <w:right w:val="single" w:color="auto" w:sz="4" w:space="0"/>
            </w:tcBorders>
          </w:tcPr>
          <w:p w14:paraId="420FB2DB">
            <w:pPr>
              <w:pStyle w:val="25"/>
            </w:pPr>
            <w:r>
              <w:t>non-DRX</w:t>
            </w:r>
          </w:p>
        </w:tc>
        <w:tc>
          <w:tcPr>
            <w:tcW w:w="3228" w:type="pct"/>
            <w:tcBorders>
              <w:top w:val="single" w:color="auto" w:sz="4" w:space="0"/>
              <w:left w:val="single" w:color="auto" w:sz="4" w:space="0"/>
              <w:bottom w:val="single" w:color="auto" w:sz="4" w:space="0"/>
              <w:right w:val="single" w:color="auto" w:sz="4" w:space="0"/>
            </w:tcBorders>
          </w:tcPr>
          <w:p w14:paraId="6F4D5C37">
            <w:pPr>
              <w:pStyle w:val="25"/>
            </w:pPr>
            <w:r>
              <w:t>max(T</w:t>
            </w:r>
            <w:r>
              <w:rPr>
                <w:vertAlign w:val="subscript"/>
              </w:rPr>
              <w:t>Report</w:t>
            </w:r>
            <w:r>
              <w:t>, ceil(M*P)*T</w:t>
            </w:r>
            <w:r>
              <w:rPr>
                <w:vertAlign w:val="subscript"/>
              </w:rPr>
              <w:t>SSB_NBC</w:t>
            </w:r>
            <w:r>
              <w:t>)</w:t>
            </w:r>
          </w:p>
        </w:tc>
      </w:tr>
      <w:tr w14:paraId="55060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2" w:type="pct"/>
            <w:tcBorders>
              <w:top w:val="single" w:color="auto" w:sz="4" w:space="0"/>
              <w:left w:val="single" w:color="auto" w:sz="4" w:space="0"/>
              <w:bottom w:val="single" w:color="auto" w:sz="4" w:space="0"/>
              <w:right w:val="single" w:color="auto" w:sz="4" w:space="0"/>
            </w:tcBorders>
          </w:tcPr>
          <w:p w14:paraId="39BA8C16">
            <w:pPr>
              <w:pStyle w:val="25"/>
            </w:pPr>
            <w:r>
              <w:t xml:space="preserve">DRX cycle </w:t>
            </w:r>
            <w:r>
              <w:rPr>
                <w:rFonts w:hint="eastAsia" w:cs="Arial"/>
              </w:rPr>
              <w:t>≤</w:t>
            </w:r>
            <w:r>
              <w:rPr>
                <w:rFonts w:cs="Arial"/>
              </w:rPr>
              <w:t xml:space="preserve"> </w:t>
            </w:r>
            <w:r>
              <w:t>320 ms</w:t>
            </w:r>
          </w:p>
        </w:tc>
        <w:tc>
          <w:tcPr>
            <w:tcW w:w="3228" w:type="pct"/>
            <w:tcBorders>
              <w:top w:val="single" w:color="auto" w:sz="4" w:space="0"/>
              <w:left w:val="single" w:color="auto" w:sz="4" w:space="0"/>
              <w:bottom w:val="single" w:color="auto" w:sz="4" w:space="0"/>
              <w:right w:val="single" w:color="auto" w:sz="4" w:space="0"/>
            </w:tcBorders>
          </w:tcPr>
          <w:p w14:paraId="449CF8EA">
            <w:pPr>
              <w:pStyle w:val="25"/>
            </w:pPr>
            <w:r>
              <w:t>max(T</w:t>
            </w:r>
            <w:r>
              <w:rPr>
                <w:vertAlign w:val="subscript"/>
              </w:rPr>
              <w:t>Report</w:t>
            </w:r>
            <w:r>
              <w:t>, ceil(K *M*P)*max(T</w:t>
            </w:r>
            <w:r>
              <w:rPr>
                <w:vertAlign w:val="subscript"/>
              </w:rPr>
              <w:t>DRX</w:t>
            </w:r>
            <w:r>
              <w:t>,T</w:t>
            </w:r>
            <w:r>
              <w:rPr>
                <w:vertAlign w:val="subscript"/>
              </w:rPr>
              <w:t>SSB_NBC</w:t>
            </w:r>
            <w:r>
              <w:t>))</w:t>
            </w:r>
          </w:p>
        </w:tc>
      </w:tr>
      <w:tr w14:paraId="589B6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2" w:type="pct"/>
            <w:tcBorders>
              <w:top w:val="single" w:color="auto" w:sz="4" w:space="0"/>
              <w:left w:val="single" w:color="auto" w:sz="4" w:space="0"/>
              <w:bottom w:val="single" w:color="auto" w:sz="4" w:space="0"/>
              <w:right w:val="single" w:color="auto" w:sz="4" w:space="0"/>
            </w:tcBorders>
          </w:tcPr>
          <w:p w14:paraId="63A5051F">
            <w:pPr>
              <w:pStyle w:val="25"/>
            </w:pPr>
            <w:r>
              <w:t>DRX cycle &gt; 320 ms</w:t>
            </w:r>
          </w:p>
        </w:tc>
        <w:tc>
          <w:tcPr>
            <w:tcW w:w="3228" w:type="pct"/>
            <w:tcBorders>
              <w:top w:val="single" w:color="auto" w:sz="4" w:space="0"/>
              <w:left w:val="single" w:color="auto" w:sz="4" w:space="0"/>
              <w:bottom w:val="single" w:color="auto" w:sz="4" w:space="0"/>
              <w:right w:val="single" w:color="auto" w:sz="4" w:space="0"/>
            </w:tcBorders>
          </w:tcPr>
          <w:p w14:paraId="4CC264A1">
            <w:pPr>
              <w:pStyle w:val="25"/>
            </w:pPr>
            <w:r>
              <w:t>ceil(M*P)*T</w:t>
            </w:r>
            <w:r>
              <w:rPr>
                <w:vertAlign w:val="subscript"/>
              </w:rPr>
              <w:t>DRX</w:t>
            </w:r>
          </w:p>
        </w:tc>
      </w:tr>
      <w:tr w14:paraId="2932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tcPr>
          <w:p w14:paraId="5C4BF954">
            <w:pPr>
              <w:pStyle w:val="27"/>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the configured periodicity for reporting.</w:t>
            </w:r>
          </w:p>
          <w:p w14:paraId="69A8F3AA">
            <w:pPr>
              <w:pStyle w:val="27"/>
            </w:pPr>
            <w:r>
              <w:t>NOTE 2:</w:t>
            </w:r>
            <w:r>
              <w:tab/>
            </w:r>
            <w:r>
              <w:t>K = 1.5.</w:t>
            </w:r>
          </w:p>
          <w:p w14:paraId="1198AD08">
            <w:pPr>
              <w:pStyle w:val="27"/>
              <w:rPr>
                <w:i/>
                <w:lang w:eastAsia="zh-CN"/>
              </w:rPr>
            </w:pPr>
            <w:r>
              <w:t>NOTE</w:t>
            </w:r>
            <w:r>
              <w:rPr>
                <w:lang w:eastAsia="zh-CN"/>
              </w:rPr>
              <w:t xml:space="preserve"> 3: </w:t>
            </w:r>
            <w:r>
              <w:tab/>
            </w:r>
            <w:r>
              <w:t>T</w:t>
            </w:r>
            <w:r>
              <w:rPr>
                <w:rFonts w:eastAsia="?? ??"/>
              </w:rPr>
              <w:t xml:space="preserve">he requirements apply </w:t>
            </w:r>
            <w:r>
              <w:rPr>
                <w:rFonts w:cs="Arial"/>
                <w:szCs w:val="18"/>
              </w:rPr>
              <w:t xml:space="preserve">when the max RTD between the serving cell and any candidate cell on which UE is required to perform </w:t>
            </w:r>
            <w:r>
              <w:rPr>
                <w:rFonts w:cs="Arial"/>
                <w:bCs/>
              </w:rPr>
              <w:t>L1-RSRP</w:t>
            </w:r>
            <w:r>
              <w:rPr>
                <w:rFonts w:cs="Arial"/>
                <w:szCs w:val="18"/>
              </w:rPr>
              <w:t xml:space="preserve"> measurement on the same frequency layer is not larger than CP length of the cell on the frequency layer.</w:t>
            </w:r>
          </w:p>
        </w:tc>
      </w:tr>
    </w:tbl>
    <w:p w14:paraId="1D99A51C">
      <w:pPr>
        <w:rPr>
          <w:lang w:eastAsia="zh-CN"/>
        </w:rPr>
      </w:pPr>
    </w:p>
    <w:p w14:paraId="2A5FDA78">
      <w:pPr>
        <w:pStyle w:val="23"/>
      </w:pPr>
      <w:r>
        <w:t>Table 9.14.5.1-2: Intra-frequency L1-RSRP measurement period T</w:t>
      </w:r>
      <w:r>
        <w:rPr>
          <w:vertAlign w:val="subscript"/>
        </w:rPr>
        <w:t>L1-RSRP_Measurement_Period_SSB_intra</w:t>
      </w:r>
      <w:r>
        <w:t xml:space="preserve"> </w:t>
      </w:r>
      <w:r>
        <w:rPr>
          <w:lang w:eastAsia="zh-CN"/>
        </w:rPr>
        <w:t>in</w:t>
      </w:r>
      <w:r>
        <w:t xml:space="preserve"> FR1 for UE capable of </w:t>
      </w:r>
      <w:r>
        <w:rPr>
          <w:i/>
          <w:iCs/>
        </w:rPr>
        <w:t>multiCellL1-measRTD-greaterThan-CP-r18</w:t>
      </w:r>
      <w:r>
        <w:rPr>
          <w:rFonts w:eastAsia="?? ??"/>
        </w:rPr>
        <w:t xml:space="preserve"> </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64C4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A4D0962">
            <w:pPr>
              <w:pStyle w:val="24"/>
            </w:pPr>
            <w:r>
              <w:t>Configuration</w:t>
            </w:r>
          </w:p>
        </w:tc>
        <w:tc>
          <w:tcPr>
            <w:tcW w:w="4582" w:type="dxa"/>
            <w:tcBorders>
              <w:top w:val="single" w:color="auto" w:sz="4" w:space="0"/>
              <w:left w:val="single" w:color="auto" w:sz="4" w:space="0"/>
              <w:bottom w:val="single" w:color="auto" w:sz="4" w:space="0"/>
              <w:right w:val="single" w:color="auto" w:sz="4" w:space="0"/>
            </w:tcBorders>
          </w:tcPr>
          <w:p w14:paraId="386DBBA2">
            <w:pPr>
              <w:pStyle w:val="24"/>
            </w:pPr>
            <w:r>
              <w:t>T</w:t>
            </w:r>
            <w:r>
              <w:rPr>
                <w:vertAlign w:val="subscript"/>
              </w:rPr>
              <w:t>L1-RSRP_Measurement_Period_SSB_intra</w:t>
            </w:r>
            <w:r>
              <w:t xml:space="preserve"> (ms) </w:t>
            </w:r>
          </w:p>
        </w:tc>
      </w:tr>
      <w:tr w14:paraId="7EF62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1BA3E0A">
            <w:pPr>
              <w:pStyle w:val="25"/>
            </w:pPr>
            <w:r>
              <w:t>non-DRX</w:t>
            </w:r>
          </w:p>
        </w:tc>
        <w:tc>
          <w:tcPr>
            <w:tcW w:w="4582" w:type="dxa"/>
            <w:tcBorders>
              <w:top w:val="single" w:color="auto" w:sz="4" w:space="0"/>
              <w:left w:val="single" w:color="auto" w:sz="4" w:space="0"/>
              <w:bottom w:val="single" w:color="auto" w:sz="4" w:space="0"/>
              <w:right w:val="single" w:color="auto" w:sz="4" w:space="0"/>
            </w:tcBorders>
          </w:tcPr>
          <w:p w14:paraId="70EAE8E9">
            <w:pPr>
              <w:pStyle w:val="25"/>
            </w:pPr>
            <w:r>
              <w:t>max(T</w:t>
            </w:r>
            <w:r>
              <w:rPr>
                <w:vertAlign w:val="subscript"/>
              </w:rPr>
              <w:t>Report</w:t>
            </w:r>
            <w:r>
              <w:t>, ceil(M*P)*T</w:t>
            </w:r>
            <w:r>
              <w:rPr>
                <w:vertAlign w:val="subscript"/>
              </w:rPr>
              <w:t>SSB_NBC</w:t>
            </w:r>
            <w:r>
              <w:t>*N</w:t>
            </w:r>
            <w:r>
              <w:rPr>
                <w:vertAlign w:val="subscript"/>
              </w:rPr>
              <w:t>Layer</w:t>
            </w:r>
            <w:r>
              <w:t>)</w:t>
            </w:r>
          </w:p>
        </w:tc>
      </w:tr>
      <w:tr w14:paraId="16CB4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429761A">
            <w:pPr>
              <w:pStyle w:val="2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05A49A97">
            <w:pPr>
              <w:pStyle w:val="25"/>
            </w:pPr>
            <w:r>
              <w:t>max(T</w:t>
            </w:r>
            <w:r>
              <w:rPr>
                <w:vertAlign w:val="subscript"/>
              </w:rPr>
              <w:t>Report</w:t>
            </w:r>
            <w:r>
              <w:t>, ceil(K *M*P)*max(T</w:t>
            </w:r>
            <w:r>
              <w:rPr>
                <w:vertAlign w:val="subscript"/>
              </w:rPr>
              <w:t>DRX</w:t>
            </w:r>
            <w:r>
              <w:t>,T</w:t>
            </w:r>
            <w:r>
              <w:rPr>
                <w:vertAlign w:val="subscript"/>
              </w:rPr>
              <w:t>SSB_NBC</w:t>
            </w:r>
            <w:r>
              <w:t>) *N</w:t>
            </w:r>
            <w:r>
              <w:rPr>
                <w:vertAlign w:val="subscript"/>
              </w:rPr>
              <w:t>Layer</w:t>
            </w:r>
            <w:r>
              <w:t>)</w:t>
            </w:r>
          </w:p>
        </w:tc>
      </w:tr>
      <w:tr w14:paraId="2E02C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0C30C21">
            <w:pPr>
              <w:pStyle w:val="2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25B50EBA">
            <w:pPr>
              <w:pStyle w:val="25"/>
            </w:pPr>
            <w:r>
              <w:t>ceil(M*P)*T</w:t>
            </w:r>
            <w:r>
              <w:rPr>
                <w:vertAlign w:val="subscript"/>
              </w:rPr>
              <w:t>DRX</w:t>
            </w:r>
            <w:r>
              <w:t>*N</w:t>
            </w:r>
            <w:r>
              <w:rPr>
                <w:vertAlign w:val="subscript"/>
              </w:rPr>
              <w:t>Layer</w:t>
            </w:r>
          </w:p>
        </w:tc>
      </w:tr>
      <w:tr w14:paraId="7797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5BFB09F0">
            <w:pPr>
              <w:pStyle w:val="27"/>
            </w:pPr>
            <w:r>
              <w:t>NOTE 1:</w:t>
            </w:r>
            <w:r>
              <w:tab/>
            </w:r>
            <w:r>
              <w:rPr>
                <w:rFonts w:cs="v4.2.0"/>
              </w:rPr>
              <w:t>T</w:t>
            </w:r>
            <w:r>
              <w:rPr>
                <w:rFonts w:cs="v4.2.0"/>
                <w:vertAlign w:val="subscript"/>
              </w:rPr>
              <w:t xml:space="preserve">SSB_NBC </w:t>
            </w:r>
            <w:r>
              <w:t>is the periodicity of the neighbor cell SSB-Index configured for intra-frequency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the configured periodicity for reporting.  N</w:t>
            </w:r>
            <w:r>
              <w:rPr>
                <w:vertAlign w:val="subscript"/>
              </w:rPr>
              <w:t>Layer</w:t>
            </w:r>
            <w:r>
              <w:rPr>
                <w:rFonts w:cs="v4.2.0"/>
                <w:vertAlign w:val="subscript"/>
              </w:rPr>
              <w:t xml:space="preserve"> </w:t>
            </w:r>
            <w:r>
              <w:rPr>
                <w:rFonts w:hint="eastAsia"/>
                <w:lang w:eastAsia="zh-CN"/>
              </w:rPr>
              <w:t xml:space="preserve">= </w:t>
            </w:r>
            <w:r>
              <w:t xml:space="preserve">the number of intra-frequency layers configured for L1-RSRP measurement with </w:t>
            </w:r>
            <w:r>
              <w:rPr>
                <w:i/>
                <w:iCs/>
              </w:rPr>
              <w:t>LTM-CSI-ResourceConfig-r18</w:t>
            </w:r>
            <w:r>
              <w:t xml:space="preserve"> </w:t>
            </w:r>
            <w:r>
              <w:rPr>
                <w:rFonts w:hint="eastAsia"/>
                <w:lang w:eastAsia="zh-CN"/>
              </w:rPr>
              <w:t>+</w:t>
            </w:r>
            <w:r>
              <w:rPr>
                <w:lang w:eastAsia="zh-CN"/>
              </w:rPr>
              <w:t xml:space="preserve"> </w:t>
            </w:r>
            <w:r>
              <w:t>the number of int</w:t>
            </w:r>
            <w:r>
              <w:rPr>
                <w:rFonts w:hint="eastAsia"/>
                <w:lang w:eastAsia="zh-CN"/>
              </w:rPr>
              <w:t>er</w:t>
            </w:r>
            <w:r>
              <w:t>-frequency layers</w:t>
            </w:r>
            <w:r>
              <w:rPr>
                <w:rFonts w:hint="eastAsia"/>
                <w:lang w:eastAsia="zh-CN"/>
              </w:rPr>
              <w:t xml:space="preserve"> without measurement gaps</w:t>
            </w:r>
            <w:r>
              <w:t xml:space="preserve"> </w:t>
            </w:r>
            <w:r>
              <w:rPr>
                <w:rFonts w:hint="eastAsia"/>
                <w:lang w:eastAsia="zh-CN"/>
              </w:rPr>
              <w:t xml:space="preserve">which are </w:t>
            </w:r>
            <w:r>
              <w:t xml:space="preserve">configured for L1-RSRP measurement with </w:t>
            </w:r>
            <w:r>
              <w:rPr>
                <w:i/>
                <w:iCs/>
              </w:rPr>
              <w:t>LTM-CSI-ResourceConfig-r18</w:t>
            </w:r>
            <w:r>
              <w:t>.</w:t>
            </w:r>
          </w:p>
          <w:p w14:paraId="48B9295C">
            <w:pPr>
              <w:pStyle w:val="27"/>
            </w:pPr>
            <w:r>
              <w:t>NOTE 2:</w:t>
            </w:r>
            <w:r>
              <w:tab/>
            </w:r>
            <w:r>
              <w:t>K = 1.5.</w:t>
            </w:r>
          </w:p>
          <w:p w14:paraId="64464A29">
            <w:pPr>
              <w:pStyle w:val="27"/>
              <w:rPr>
                <w:iCs/>
              </w:rPr>
            </w:pPr>
            <w:r>
              <w:t>NOTE</w:t>
            </w:r>
            <w:r>
              <w:rPr>
                <w:iCs/>
                <w:lang w:eastAsia="zh-CN"/>
              </w:rPr>
              <w:t xml:space="preserve"> 3:</w:t>
            </w:r>
            <w:r>
              <w:tab/>
            </w:r>
            <w:r>
              <w:rPr>
                <w:rFonts w:cs="v4.2.0"/>
              </w:rPr>
              <w:t>UE shall at least measure neighbour cells which have at least one TCI state on the LTM candidate cell active TCI state list within UE capability and additional cells to measure is up to UE implementation.</w:t>
            </w:r>
          </w:p>
        </w:tc>
      </w:tr>
    </w:tbl>
    <w:p w14:paraId="5B3B329F">
      <w:pPr>
        <w:spacing w:after="180" w:line="240" w:lineRule="exact"/>
        <w:rPr>
          <w:rFonts w:hint="eastAsia" w:ascii="Times New Roman" w:hAnsi="Times New Roman" w:eastAsia="等线"/>
          <w:bCs/>
          <w:iCs/>
          <w:sz w:val="20"/>
          <w:szCs w:val="20"/>
          <w:lang w:val="en-US" w:eastAsia="zh-CN"/>
        </w:rPr>
      </w:pPr>
    </w:p>
    <w:p w14:paraId="50F3CF8F">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It can be seen that the requirements are defined differently with different assumption, e.g. the whether to differentiate the relationship between RTD and CP, whether to scale with the number of intra-frequency layers. The L1 measurement delay may be even longer than L3 measurement delay. And it is also possible that UE supporting L3 measurement may not support L1 measurement for mobility.</w:t>
      </w:r>
    </w:p>
    <w:p w14:paraId="7F31E2E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Treating L3 based mobility and LTM separately results in a lot issues. The requirements are complex. UE behaviour is inconsistent. And additional UE power consumption is introduced due to redundant measurement. To avoid these issue, it is proposed to consider unified measurement framework for L3 measurement and L1 measurement for mobility.</w:t>
      </w:r>
    </w:p>
    <w:p w14:paraId="1B9383B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9:  for L3 measurement and L1 measurement for mobility, it is proposed to consider unified measurement framework and define unified measurement requirements.</w:t>
      </w:r>
    </w:p>
    <w:p w14:paraId="591700EF">
      <w:pPr>
        <w:spacing w:after="180" w:line="240" w:lineRule="exact"/>
        <w:rPr>
          <w:rFonts w:hint="eastAsia" w:ascii="Times New Roman" w:hAnsi="Times New Roman" w:eastAsia="等线"/>
          <w:bCs/>
          <w:iCs/>
          <w:sz w:val="20"/>
          <w:szCs w:val="20"/>
          <w:lang w:val="en-US" w:eastAsia="zh-CN"/>
        </w:rPr>
      </w:pPr>
    </w:p>
    <w:p w14:paraId="6B222873">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2.5 Unified RLM/BFD/CBD</w:t>
      </w:r>
    </w:p>
    <w:p w14:paraId="778A38DA">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RLM, BFD, CBD are necessary functionalities to guarantee the radio link quality. However, the RLM, BFD, CBD are treated independently in NR. </w:t>
      </w:r>
    </w:p>
    <w:p w14:paraId="6FA2F13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detail, RLM is performed on RLM-RS resources. On each RLM-RS resource, the UE shall estimate the downlink radio link quality and compare it to the thresholds Qout and Qin. The threshold Qout is defined as the level at which the downlink radio link cannot be reliably received and the out-of-sync block error rate (BLERout) is 10%. The threshold Qin is defined as the level at which the downlink radio link quality can be received with significantly higher reliability than at Qout and the in-sync block error rate (BLERin) is 2%. Both thresholds are derived based on the hypothetical PDCCH transmission parameters. The evaluation period for in-sync is based on 5 samples, and the evaluation period for out-of-sync is based on 10 samples.</w:t>
      </w:r>
    </w:p>
    <w:p w14:paraId="24F1750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w:t>
      </w:r>
      <w:r>
        <w:rPr>
          <w:rFonts w:hint="default" w:ascii="Times New Roman" w:hAnsi="Times New Roman" w:eastAsia="等线" w:cs="Times New Roman"/>
          <w:bCs/>
          <w:iCs/>
          <w:sz w:val="20"/>
          <w:szCs w:val="20"/>
          <w:lang w:val="en-US" w:eastAsia="zh-CN"/>
        </w:rPr>
        <w:t xml:space="preserve">FD resources are within set </w:t>
      </w:r>
      <m:oMath>
        <m:sSub>
          <m:sSubPr>
            <m:ctrlPr>
              <w:rPr>
                <w:rFonts w:hint="default" w:ascii="Cambria Math" w:hAnsi="Cambria Math" w:cs="Times New Roman"/>
                <w:i/>
                <w:sz w:val="20"/>
                <w:szCs w:val="20"/>
              </w:rPr>
            </m:ctrlPr>
          </m:sSubPr>
          <m:e>
            <m:acc>
              <m:accPr>
                <m:chr m:val="̅"/>
                <m:ctrlPr>
                  <w:rPr>
                    <w:rFonts w:hint="default" w:ascii="Cambria Math" w:hAnsi="Cambria Math" w:cs="Times New Roman"/>
                    <w:sz w:val="20"/>
                    <w:szCs w:val="20"/>
                  </w:rPr>
                </m:ctrlPr>
              </m:accPr>
              <m:e>
                <m:r>
                  <m:rPr/>
                  <w:rPr>
                    <w:rFonts w:hint="default" w:ascii="Cambria Math" w:hAnsi="Cambria Math" w:cs="Times New Roman"/>
                    <w:sz w:val="20"/>
                    <w:szCs w:val="20"/>
                  </w:rPr>
                  <m:t>q</m:t>
                </m:r>
                <m:ctrlPr>
                  <w:rPr>
                    <w:rFonts w:hint="default" w:ascii="Cambria Math" w:hAnsi="Cambria Math" w:cs="Times New Roman"/>
                    <w:i/>
                    <w:sz w:val="20"/>
                    <w:szCs w:val="20"/>
                  </w:rPr>
                </m:ctrlPr>
              </m:e>
            </m:acc>
            <m:ctrlPr>
              <w:rPr>
                <w:rFonts w:hint="default" w:ascii="Cambria Math" w:hAnsi="Cambria Math" w:cs="Times New Roman"/>
                <w:i/>
                <w:sz w:val="20"/>
                <w:szCs w:val="20"/>
              </w:rPr>
            </m:ctrlPr>
          </m:e>
          <m:sub>
            <m:r>
              <m:rPr/>
              <w:rPr>
                <w:rFonts w:hint="default" w:ascii="Cambria Math" w:hAnsi="Cambria Math" w:cs="Times New Roman"/>
                <w:sz w:val="20"/>
                <w:szCs w:val="20"/>
                <w:lang w:val="en-US" w:eastAsia="zh-CN"/>
              </w:rPr>
              <m:t>0</m:t>
            </m:r>
            <m:ctrlPr>
              <w:rPr>
                <w:rFonts w:hint="default" w:ascii="Cambria Math" w:hAnsi="Cambria Math" w:cs="Times New Roman"/>
                <w:i/>
                <w:sz w:val="20"/>
                <w:szCs w:val="20"/>
              </w:rPr>
            </m:ctrlPr>
          </m:sub>
        </m:sSub>
      </m:oMath>
      <w:r>
        <w:rPr>
          <w:rFonts w:hint="eastAsia" w:hAnsi="Cambria Math" w:cs="Times New Roman"/>
          <w:i w:val="0"/>
          <w:sz w:val="20"/>
          <w:szCs w:val="20"/>
          <w:lang w:val="en-US" w:eastAsia="zh-CN"/>
        </w:rPr>
        <w:t xml:space="preserve">. </w:t>
      </w:r>
      <w:r>
        <w:rPr>
          <w:rFonts w:hint="eastAsia" w:ascii="Times New Roman" w:hAnsi="Times New Roman" w:eastAsia="等线"/>
          <w:bCs/>
          <w:iCs/>
          <w:sz w:val="20"/>
          <w:szCs w:val="20"/>
          <w:lang w:val="en-US" w:eastAsia="zh-CN"/>
        </w:rPr>
        <w:t>On each RS resource configuration in the set , the UE shall estimate the radio link quality and compare it to the threshold Qout_LR for the purpose of accessing downlink radio link quality of the serving cell beams. The threshold Qout_LR is defined as the level at which the downlink radio level link of a given resource configuration on the set cannot be reliably received and shall correspond to the BLERout = 10% block error rate of a hypothetical PDCCH transmission. The evaluation period for BFD is based on 5 samples</w:t>
      </w:r>
      <w:r>
        <w:rPr>
          <w:rFonts w:hint="eastAsia" w:ascii="Times New Roman" w:hAnsi="Times New Roman" w:cs="Times New Roman"/>
          <w:i w:val="0"/>
          <w:sz w:val="20"/>
          <w:szCs w:val="20"/>
          <w:lang w:val="en-US" w:eastAsia="zh-CN"/>
        </w:rPr>
        <w:t xml:space="preserve"> </w:t>
      </w:r>
    </w:p>
    <w:p w14:paraId="33970843">
      <w:pPr>
        <w:spacing w:after="180" w:line="240" w:lineRule="exact"/>
        <w:rPr>
          <w:rFonts w:hint="default" w:ascii="Times New Roman" w:hAnsi="Times New Roman" w:eastAsia="等线"/>
          <w:bCs/>
          <w:iCs/>
          <w:sz w:val="20"/>
          <w:szCs w:val="20"/>
          <w:lang w:val="en-US" w:eastAsia="zh-CN"/>
        </w:rPr>
      </w:pPr>
      <w:r>
        <w:rPr>
          <w:rFonts w:hint="default" w:ascii="Times New Roman" w:hAnsi="Times New Roman" w:cs="Times New Roman"/>
          <w:sz w:val="20"/>
          <w:szCs w:val="20"/>
        </w:rPr>
        <w:t>CBD</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resource </w:t>
      </w:r>
      <w:r>
        <w:rPr>
          <w:rFonts w:hint="default" w:ascii="Times New Roman" w:hAnsi="Times New Roman" w:cs="Times New Roman"/>
          <w:sz w:val="20"/>
          <w:szCs w:val="20"/>
          <w:lang w:val="en-US" w:eastAsia="zh-CN"/>
        </w:rPr>
        <w:t xml:space="preserve">are </w:t>
      </w:r>
      <w:r>
        <w:rPr>
          <w:rFonts w:hint="default" w:ascii="Times New Roman" w:hAnsi="Times New Roman" w:cs="Times New Roman"/>
          <w:sz w:val="20"/>
          <w:szCs w:val="20"/>
        </w:rPr>
        <w:t xml:space="preserve">in the set </w:t>
      </w:r>
      <m:oMath>
        <m:sSub>
          <m:sSubPr>
            <m:ctrlPr>
              <w:rPr>
                <w:rFonts w:hint="default" w:ascii="Cambria Math" w:hAnsi="Cambria Math" w:cs="Times New Roman"/>
                <w:i/>
                <w:sz w:val="20"/>
                <w:szCs w:val="20"/>
              </w:rPr>
            </m:ctrlPr>
          </m:sSubPr>
          <m:e>
            <m:acc>
              <m:accPr>
                <m:chr m:val="̅"/>
                <m:ctrlPr>
                  <w:rPr>
                    <w:rFonts w:hint="default" w:ascii="Cambria Math" w:hAnsi="Cambria Math" w:cs="Times New Roman"/>
                    <w:sz w:val="20"/>
                    <w:szCs w:val="20"/>
                  </w:rPr>
                </m:ctrlPr>
              </m:accPr>
              <m:e>
                <m:r>
                  <m:rPr/>
                  <w:rPr>
                    <w:rFonts w:hint="default" w:ascii="Cambria Math" w:hAnsi="Cambria Math" w:cs="Times New Roman"/>
                    <w:sz w:val="20"/>
                    <w:szCs w:val="20"/>
                  </w:rPr>
                  <m:t>q</m:t>
                </m:r>
                <m:ctrlPr>
                  <w:rPr>
                    <w:rFonts w:hint="default" w:ascii="Cambria Math" w:hAnsi="Cambria Math" w:cs="Times New Roman"/>
                    <w:i/>
                    <w:sz w:val="20"/>
                    <w:szCs w:val="20"/>
                  </w:rPr>
                </m:ctrlPr>
              </m:e>
            </m:acc>
            <m:ctrlPr>
              <w:rPr>
                <w:rFonts w:hint="default" w:ascii="Cambria Math" w:hAnsi="Cambria Math" w:cs="Times New Roman"/>
                <w:i/>
                <w:sz w:val="20"/>
                <w:szCs w:val="20"/>
              </w:rPr>
            </m:ctrlPr>
          </m:e>
          <m:sub>
            <m:r>
              <m:rPr/>
              <w:rPr>
                <w:rFonts w:hint="default" w:ascii="Cambria Math" w:hAnsi="Cambria Math" w:cs="Times New Roman"/>
                <w:sz w:val="20"/>
                <w:szCs w:val="20"/>
              </w:rPr>
              <m:t>1</m:t>
            </m:r>
            <m:ctrlPr>
              <w:rPr>
                <w:rFonts w:hint="default" w:ascii="Cambria Math" w:hAnsi="Cambria Math" w:cs="Times New Roman"/>
                <w:i/>
                <w:sz w:val="20"/>
                <w:szCs w:val="20"/>
              </w:rPr>
            </m:ctrlPr>
          </m:sub>
        </m:sSub>
      </m:oMath>
      <w:r>
        <w:rPr>
          <w:rFonts w:hint="default" w:ascii="Times New Roman" w:hAnsi="Times New Roman" w:cs="Times New Roman"/>
          <w:i w:val="0"/>
          <w:sz w:val="20"/>
          <w:szCs w:val="20"/>
          <w:lang w:val="en-US" w:eastAsia="zh-CN"/>
        </w:rPr>
        <w:t>.</w:t>
      </w:r>
      <w:r>
        <w:rPr>
          <w:rFonts w:hint="eastAsia" w:ascii="Times New Roman" w:hAnsi="Times New Roman" w:cs="Times New Roman"/>
          <w:i w:val="0"/>
          <w:sz w:val="20"/>
          <w:szCs w:val="20"/>
          <w:lang w:val="en-US" w:eastAsia="zh-CN"/>
        </w:rPr>
        <w:t xml:space="preserve"> Upon request the UE shall deliver configuration indexes from the set to higher layers, and the corresponding L1-RSRP measurement provided that the measured L1-RSRP is equal to or better than the threshold Qin_LR, which is indicated by higher layer parameter rsrp-ThresholdSSB. </w:t>
      </w:r>
      <w:r>
        <w:rPr>
          <w:rFonts w:hint="eastAsia" w:ascii="Times New Roman" w:hAnsi="Times New Roman" w:eastAsia="等线"/>
          <w:bCs/>
          <w:iCs/>
          <w:sz w:val="20"/>
          <w:szCs w:val="20"/>
          <w:lang w:val="en-US" w:eastAsia="zh-CN"/>
        </w:rPr>
        <w:t>The evaluation period for CBD is based on 3 samples</w:t>
      </w:r>
      <w:r>
        <w:rPr>
          <w:rFonts w:hint="eastAsia" w:ascii="Times New Roman" w:hAnsi="Times New Roman" w:cs="Times New Roman"/>
          <w:i w:val="0"/>
          <w:sz w:val="20"/>
          <w:szCs w:val="20"/>
          <w:lang w:val="en-US" w:eastAsia="zh-CN"/>
        </w:rPr>
        <w:t>.</w:t>
      </w:r>
    </w:p>
    <w:p w14:paraId="36FE407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It can be seen that RLM, BFD, CBD are handled independently, even though all of them are related with radio link quality. As a result, the requirements are complex, UE behaviour is inconsistent, and introduce additional UE power consumption due to redundant measurement. To avoid these issue, it is proposed to consider unified measurement framework for RLM\BFD\CBD.</w:t>
      </w:r>
    </w:p>
    <w:p w14:paraId="04083774">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10: it is proposed to consider unified measurement framework and define unified requirements for RLM, BFD, CBD.</w:t>
      </w:r>
    </w:p>
    <w:p w14:paraId="222E61F0">
      <w:pPr>
        <w:spacing w:after="180" w:line="240" w:lineRule="exact"/>
        <w:rPr>
          <w:rFonts w:hint="default" w:ascii="Times New Roman" w:hAnsi="Times New Roman" w:eastAsia="等线"/>
          <w:b/>
          <w:bCs w:val="0"/>
          <w:i/>
          <w:iCs w:val="0"/>
          <w:sz w:val="20"/>
          <w:szCs w:val="20"/>
          <w:lang w:val="en-US" w:eastAsia="zh-CN"/>
        </w:rPr>
      </w:pPr>
    </w:p>
    <w:p w14:paraId="4C3CBCC8">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2.6 Energy efficiency</w:t>
      </w:r>
    </w:p>
    <w:p w14:paraId="4706B643">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From 6GR SID, the energy efficiency is the one of the baseline design principles of 6G technology framework.</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182E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8176D04">
            <w:pPr>
              <w:keepNext w:val="0"/>
              <w:keepLines w:val="0"/>
              <w:pageBreakBefore w:val="0"/>
              <w:numPr>
                <w:ilvl w:val="0"/>
                <w:numId w:val="8"/>
              </w:numPr>
              <w:kinsoku/>
              <w:wordWrap/>
              <w:overflowPunct w:val="0"/>
              <w:topLinePunct w:val="0"/>
              <w:autoSpaceDE w:val="0"/>
              <w:autoSpaceDN w:val="0"/>
              <w:bidi w:val="0"/>
              <w:adjustRightInd w:val="0"/>
              <w:snapToGrid/>
              <w:spacing w:before="60" w:after="60" w:line="240" w:lineRule="auto"/>
              <w:ind w:left="72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Single technology framework based on a stand-alone architecture</w:t>
            </w:r>
            <w:r>
              <w:rPr>
                <w:rFonts w:hint="eastAsia" w:ascii="Times New Roman" w:hAnsi="Times New Roman" w:eastAsia="MS Mincho" w:cs="Times New Roman"/>
                <w:color w:val="000000"/>
                <w:sz w:val="20"/>
                <w:szCs w:val="20"/>
                <w:lang w:val="en-GB" w:eastAsia="ja-JP" w:bidi="ar-SA"/>
              </w:rPr>
              <w:t xml:space="preserve"> (Note1)</w:t>
            </w:r>
            <w:r>
              <w:rPr>
                <w:rFonts w:ascii="Times New Roman" w:hAnsi="Times New Roman" w:eastAsia="MS Mincho" w:cs="Times New Roman"/>
                <w:color w:val="000000"/>
                <w:sz w:val="20"/>
                <w:szCs w:val="20"/>
                <w:lang w:val="en-GB" w:eastAsia="en-GB" w:bidi="ar-SA"/>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653EFC6">
            <w:pPr>
              <w:keepNext w:val="0"/>
              <w:keepLines w:val="0"/>
              <w:pageBreakBefore w:val="0"/>
              <w:numPr>
                <w:ilvl w:val="1"/>
                <w:numId w:val="9"/>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Ensuring appropriate set of functionalities, minimize the adoption of multiple options for the same functionality, avoid excessive configurations, excessive UE capabilities and UE capabilities reporting.</w:t>
            </w:r>
          </w:p>
          <w:p w14:paraId="7C61CCF0">
            <w:pPr>
              <w:keepNext w:val="0"/>
              <w:keepLines w:val="0"/>
              <w:pageBreakBefore w:val="0"/>
              <w:numPr>
                <w:ilvl w:val="1"/>
                <w:numId w:val="9"/>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highlight w:val="yellow"/>
                <w:lang w:val="en-GB" w:eastAsia="en-GB" w:bidi="ar-SA"/>
              </w:rPr>
            </w:pPr>
            <w:r>
              <w:rPr>
                <w:rFonts w:ascii="Times New Roman" w:hAnsi="Times New Roman" w:eastAsia="MS Mincho" w:cs="Times New Roman"/>
                <w:color w:val="000000"/>
                <w:sz w:val="20"/>
                <w:szCs w:val="20"/>
                <w:highlight w:val="yellow"/>
                <w:lang w:val="en-GB" w:eastAsia="en-GB" w:bidi="ar-SA"/>
              </w:rPr>
              <w:t>Energy efficiency and energy saving: both for network and device.</w:t>
            </w:r>
          </w:p>
          <w:p w14:paraId="6934B5EF">
            <w:pPr>
              <w:keepNext w:val="0"/>
              <w:keepLines w:val="0"/>
              <w:pageBreakBefore w:val="0"/>
              <w:numPr>
                <w:ilvl w:val="1"/>
                <w:numId w:val="9"/>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 xml:space="preserve">Enhanced spectral efficiency. </w:t>
            </w:r>
          </w:p>
          <w:p w14:paraId="168C7D44">
            <w:pPr>
              <w:keepNext w:val="0"/>
              <w:keepLines w:val="0"/>
              <w:pageBreakBefore w:val="0"/>
              <w:numPr>
                <w:ilvl w:val="1"/>
                <w:numId w:val="9"/>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Enhanced overall coverage, focus on cell-edge performance and UL coverage.</w:t>
            </w:r>
          </w:p>
          <w:p w14:paraId="428EAA4C">
            <w:pPr>
              <w:keepNext w:val="0"/>
              <w:keepLines w:val="0"/>
              <w:pageBreakBefore w:val="0"/>
              <w:numPr>
                <w:ilvl w:val="1"/>
                <w:numId w:val="9"/>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Wider channel bandwidth (at least 200MHz) support for 6G deployments at least above 2 GHz, around 7 GHz.</w:t>
            </w:r>
          </w:p>
          <w:p w14:paraId="2B2D022D">
            <w:pPr>
              <w:keepNext w:val="0"/>
              <w:keepLines w:val="0"/>
              <w:pageBreakBefore w:val="0"/>
              <w:numPr>
                <w:ilvl w:val="1"/>
                <w:numId w:val="9"/>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Re-use of existing 5G mid-band (~3.5GHz) site grid for 6G deployments in at least around 7 GHz and targeting comparable coverage to 5G mid-band.</w:t>
            </w:r>
          </w:p>
          <w:p w14:paraId="5C3C2250">
            <w:pPr>
              <w:keepNext w:val="0"/>
              <w:keepLines w:val="0"/>
              <w:pageBreakBefore w:val="0"/>
              <w:numPr>
                <w:ilvl w:val="1"/>
                <w:numId w:val="9"/>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Target scalable and forward compatible design for diverse device types.</w:t>
            </w:r>
          </w:p>
          <w:p w14:paraId="19B49173">
            <w:pPr>
              <w:keepNext w:val="0"/>
              <w:keepLines w:val="0"/>
              <w:pageBreakBefore w:val="0"/>
              <w:numPr>
                <w:ilvl w:val="1"/>
                <w:numId w:val="9"/>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Improved spectrum utilization and operations taking into account diverse spectrum allocations.</w:t>
            </w:r>
          </w:p>
          <w:p w14:paraId="472A68C4">
            <w:pPr>
              <w:keepNext w:val="0"/>
              <w:keepLines w:val="0"/>
              <w:pageBreakBefore w:val="0"/>
              <w:numPr>
                <w:ilvl w:val="1"/>
                <w:numId w:val="9"/>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Aim at using common 6G Radio design, which meets mobile broadband service requirements as high priority, to also meet vertical needs.</w:t>
            </w:r>
          </w:p>
          <w:p w14:paraId="1F623B2E">
            <w:pPr>
              <w:keepNext w:val="0"/>
              <w:keepLines w:val="0"/>
              <w:pageBreakBefore w:val="0"/>
              <w:numPr>
                <w:ilvl w:val="1"/>
                <w:numId w:val="9"/>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Aim at a harmonized 6G Radio design for TN and NTN, including their integration.</w:t>
            </w:r>
          </w:p>
          <w:p w14:paraId="5939B456">
            <w:pPr>
              <w:keepNext w:val="0"/>
              <w:keepLines w:val="0"/>
              <w:pageBreakBefore w:val="0"/>
              <w:numPr>
                <w:ilvl w:val="1"/>
                <w:numId w:val="9"/>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hint="eastAsia" w:ascii="Times New Roman" w:hAnsi="Times New Roman" w:eastAsia="等线"/>
                <w:bCs/>
                <w:iCs/>
                <w:sz w:val="20"/>
                <w:szCs w:val="20"/>
                <w:vertAlign w:val="baseline"/>
                <w:lang w:val="en-US" w:eastAsia="zh-CN"/>
              </w:rPr>
            </w:pPr>
            <w:r>
              <w:rPr>
                <w:rFonts w:ascii="Times New Roman" w:hAnsi="Times New Roman" w:eastAsia="MS Mincho" w:cs="Times New Roman"/>
                <w:color w:val="000000"/>
                <w:sz w:val="20"/>
                <w:szCs w:val="20"/>
                <w:lang w:val="en-GB" w:eastAsia="en-GB" w:bidi="ar-SA"/>
              </w:rPr>
              <w:t>System simplification, including reducing configuration complexity, enabling more efficient Cell/UE management, etc.</w:t>
            </w:r>
          </w:p>
        </w:tc>
      </w:tr>
    </w:tbl>
    <w:p w14:paraId="31306374">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achieved following related agreement, mainly about the power model, reference setting and evaluation metrics.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7709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0234EB5">
            <w:pPr>
              <w:keepNext w:val="0"/>
              <w:keepLines w:val="0"/>
              <w:pageBreakBefore w:val="0"/>
              <w:widowControl/>
              <w:kinsoku/>
              <w:wordWrap/>
              <w:topLinePunct w:val="0"/>
              <w:bidi w:val="0"/>
              <w:snapToGrid/>
              <w:spacing w:before="60" w:after="60" w:line="240" w:lineRule="auto"/>
              <w:jc w:val="left"/>
              <w:rPr>
                <w:rFonts w:ascii="Times" w:hAnsi="Times" w:eastAsia="等线"/>
                <w:kern w:val="0"/>
                <w:sz w:val="20"/>
                <w:highlight w:val="green"/>
                <w:lang w:val="en-US" w:eastAsia="zh-CN"/>
              </w:rPr>
            </w:pPr>
            <w:r>
              <w:rPr>
                <w:rFonts w:hint="eastAsia" w:ascii="Times" w:hAnsi="Times" w:eastAsia="等线"/>
                <w:kern w:val="0"/>
                <w:sz w:val="20"/>
                <w:highlight w:val="green"/>
                <w:lang w:val="en-US" w:eastAsia="zh-CN"/>
              </w:rPr>
              <w:t>Agreement</w:t>
            </w:r>
          </w:p>
          <w:p w14:paraId="711CEF47">
            <w:pPr>
              <w:keepNext w:val="0"/>
              <w:keepLines w:val="0"/>
              <w:pageBreakBefore w:val="0"/>
              <w:widowControl/>
              <w:kinsoku/>
              <w:wordWrap/>
              <w:topLinePunct w:val="0"/>
              <w:bidi w:val="0"/>
              <w:snapToGrid/>
              <w:spacing w:before="60" w:after="60" w:line="240" w:lineRule="auto"/>
              <w:jc w:val="left"/>
              <w:rPr>
                <w:rFonts w:ascii="Times New Roman" w:hAnsi="Times New Roman" w:eastAsia="Times New Roman"/>
                <w:kern w:val="0"/>
                <w:sz w:val="20"/>
                <w:lang w:val="en-GB" w:eastAsia="en-US"/>
              </w:rPr>
            </w:pPr>
            <w:r>
              <w:rPr>
                <w:rFonts w:ascii="Times New Roman" w:hAnsi="Times New Roman" w:eastAsia="Times New Roman"/>
                <w:kern w:val="0"/>
                <w:sz w:val="20"/>
                <w:lang w:val="en-GB" w:eastAsia="en-US"/>
              </w:rPr>
              <w:t>Study how to reuse and update reference configurations in TR 38.864 for 6G BS.</w:t>
            </w:r>
          </w:p>
          <w:p w14:paraId="3B96A567">
            <w:pPr>
              <w:keepNext w:val="0"/>
              <w:keepLines w:val="0"/>
              <w:pageBreakBefore w:val="0"/>
              <w:widowControl/>
              <w:kinsoku/>
              <w:wordWrap/>
              <w:topLinePunct w:val="0"/>
              <w:bidi w:val="0"/>
              <w:snapToGrid/>
              <w:spacing w:before="60" w:after="60" w:line="240" w:lineRule="auto"/>
              <w:jc w:val="left"/>
              <w:rPr>
                <w:rFonts w:ascii="Times New Roman" w:hAnsi="Times New Roman" w:eastAsia="Times New Roman"/>
                <w:kern w:val="0"/>
                <w:sz w:val="20"/>
                <w:highlight w:val="green"/>
                <w:lang w:val="en-GB" w:eastAsia="en-US"/>
              </w:rPr>
            </w:pPr>
            <w:r>
              <w:rPr>
                <w:rFonts w:hint="eastAsia" w:ascii="Times New Roman" w:hAnsi="Times New Roman" w:eastAsia="Times New Roman"/>
                <w:kern w:val="0"/>
                <w:sz w:val="20"/>
                <w:highlight w:val="green"/>
                <w:lang w:val="en-GB" w:eastAsia="en-US"/>
              </w:rPr>
              <w:t>Agreement</w:t>
            </w:r>
          </w:p>
          <w:p w14:paraId="4119DFD5">
            <w:pPr>
              <w:keepNext w:val="0"/>
              <w:keepLines w:val="0"/>
              <w:pageBreakBefore w:val="0"/>
              <w:widowControl/>
              <w:kinsoku/>
              <w:wordWrap/>
              <w:topLinePunct w:val="0"/>
              <w:bidi w:val="0"/>
              <w:snapToGrid/>
              <w:spacing w:before="60" w:after="60" w:line="240" w:lineRule="auto"/>
              <w:jc w:val="left"/>
              <w:rPr>
                <w:rFonts w:ascii="Times New Roman" w:hAnsi="Times New Roman" w:eastAsia="Times New Roman"/>
                <w:kern w:val="0"/>
                <w:sz w:val="20"/>
                <w:lang w:val="en-GB" w:eastAsia="en-US"/>
              </w:rPr>
            </w:pPr>
            <w:r>
              <w:rPr>
                <w:rFonts w:ascii="Times New Roman" w:hAnsi="Times New Roman" w:eastAsia="Times New Roman"/>
                <w:kern w:val="0"/>
                <w:sz w:val="20"/>
                <w:lang w:val="en-GB" w:eastAsia="en-US"/>
              </w:rPr>
              <w:t xml:space="preserve">Study </w:t>
            </w:r>
            <w:r>
              <w:rPr>
                <w:rFonts w:hint="eastAsia" w:ascii="Times New Roman" w:hAnsi="Times New Roman" w:eastAsia="Times New Roman"/>
                <w:kern w:val="0"/>
                <w:sz w:val="20"/>
                <w:lang w:val="en-GB" w:eastAsia="en-US"/>
              </w:rPr>
              <w:t xml:space="preserve">how/whether to reuse </w:t>
            </w:r>
            <w:r>
              <w:rPr>
                <w:rFonts w:hint="eastAsia" w:ascii="Times New Roman" w:hAnsi="Times New Roman" w:eastAsia="等线"/>
                <w:kern w:val="0"/>
                <w:sz w:val="20"/>
                <w:lang w:val="en-GB" w:eastAsia="zh-CN"/>
              </w:rPr>
              <w:t xml:space="preserve">or </w:t>
            </w:r>
            <w:r>
              <w:rPr>
                <w:rFonts w:hint="eastAsia" w:ascii="Times New Roman" w:hAnsi="Times New Roman" w:eastAsia="Times New Roman"/>
                <w:kern w:val="0"/>
                <w:sz w:val="20"/>
                <w:lang w:val="en-GB" w:eastAsia="en-US"/>
              </w:rPr>
              <w:t xml:space="preserve">update </w:t>
            </w:r>
            <w:r>
              <w:rPr>
                <w:rFonts w:ascii="Times New Roman" w:hAnsi="Times New Roman" w:eastAsia="Times New Roman"/>
                <w:kern w:val="0"/>
                <w:sz w:val="20"/>
                <w:lang w:val="en-GB" w:eastAsia="en-US"/>
              </w:rPr>
              <w:t>the power model in TR 38.864 for evaluating BS power consumption for 6G BS.</w:t>
            </w:r>
          </w:p>
          <w:p w14:paraId="07F165E7">
            <w:pPr>
              <w:keepNext w:val="0"/>
              <w:keepLines w:val="0"/>
              <w:pageBreakBefore w:val="0"/>
              <w:widowControl/>
              <w:kinsoku/>
              <w:wordWrap/>
              <w:topLinePunct w:val="0"/>
              <w:bidi w:val="0"/>
              <w:snapToGrid/>
              <w:spacing w:before="60" w:after="60" w:line="240" w:lineRule="auto"/>
              <w:jc w:val="left"/>
              <w:rPr>
                <w:rFonts w:ascii="Times New Roman" w:hAnsi="Times New Roman" w:eastAsia="Times New Roman"/>
                <w:kern w:val="0"/>
                <w:sz w:val="20"/>
                <w:highlight w:val="green"/>
                <w:lang w:val="en-GB" w:eastAsia="en-US"/>
              </w:rPr>
            </w:pPr>
            <w:r>
              <w:rPr>
                <w:rFonts w:hint="eastAsia" w:ascii="Times New Roman" w:hAnsi="Times New Roman" w:eastAsia="Times New Roman"/>
                <w:kern w:val="0"/>
                <w:sz w:val="20"/>
                <w:highlight w:val="green"/>
                <w:lang w:val="en-GB" w:eastAsia="en-US"/>
              </w:rPr>
              <w:t>Agreement</w:t>
            </w:r>
          </w:p>
          <w:p w14:paraId="414BF3B7">
            <w:pPr>
              <w:keepNext w:val="0"/>
              <w:keepLines w:val="0"/>
              <w:pageBreakBefore w:val="0"/>
              <w:widowControl/>
              <w:numPr>
                <w:ilvl w:val="0"/>
                <w:numId w:val="10"/>
              </w:numPr>
              <w:kinsoku/>
              <w:wordWrap/>
              <w:topLinePunct w:val="0"/>
              <w:bidi w:val="0"/>
              <w:snapToGrid/>
              <w:spacing w:before="60" w:after="60" w:line="240" w:lineRule="auto"/>
              <w:ind w:left="440" w:hanging="440"/>
              <w:jc w:val="left"/>
              <w:rPr>
                <w:rFonts w:ascii="Times New Roman" w:hAnsi="Times New Roman" w:eastAsia="Times New Roman"/>
                <w:kern w:val="0"/>
                <w:sz w:val="20"/>
                <w:lang w:val="en-GB" w:eastAsia="en-US"/>
              </w:rPr>
            </w:pPr>
            <w:r>
              <w:rPr>
                <w:rFonts w:ascii="Times New Roman" w:hAnsi="Times New Roman" w:eastAsia="Times New Roman"/>
                <w:kern w:val="0"/>
                <w:sz w:val="20"/>
                <w:lang w:val="en-GB" w:eastAsia="en-US"/>
              </w:rPr>
              <w:t>Study metric(s) for UE energy efficiency.</w:t>
            </w:r>
          </w:p>
          <w:p w14:paraId="2E1A8EBC">
            <w:pPr>
              <w:keepNext w:val="0"/>
              <w:keepLines w:val="0"/>
              <w:pageBreakBefore w:val="0"/>
              <w:widowControl/>
              <w:numPr>
                <w:ilvl w:val="0"/>
                <w:numId w:val="10"/>
              </w:numPr>
              <w:kinsoku/>
              <w:wordWrap/>
              <w:topLinePunct w:val="0"/>
              <w:bidi w:val="0"/>
              <w:snapToGrid/>
              <w:spacing w:before="60" w:after="60" w:line="240" w:lineRule="auto"/>
              <w:ind w:left="440" w:hanging="440"/>
              <w:jc w:val="left"/>
              <w:rPr>
                <w:rFonts w:ascii="Times New Roman" w:hAnsi="Times New Roman" w:eastAsia="Times New Roman"/>
                <w:kern w:val="0"/>
                <w:sz w:val="20"/>
                <w:lang w:val="en-GB" w:eastAsia="en-US"/>
              </w:rPr>
            </w:pPr>
            <w:r>
              <w:rPr>
                <w:rFonts w:ascii="Times New Roman" w:hAnsi="Times New Roman" w:eastAsia="Times New Roman"/>
                <w:kern w:val="0"/>
                <w:sz w:val="20"/>
                <w:lang w:val="en-GB" w:eastAsia="en-US"/>
              </w:rPr>
              <w:t>Study metric(s) for BS energy efficiency.</w:t>
            </w:r>
          </w:p>
          <w:p w14:paraId="7E22007C">
            <w:pPr>
              <w:keepNext w:val="0"/>
              <w:keepLines w:val="0"/>
              <w:pageBreakBefore w:val="0"/>
              <w:widowControl/>
              <w:kinsoku/>
              <w:wordWrap/>
              <w:topLinePunct w:val="0"/>
              <w:bidi w:val="0"/>
              <w:snapToGrid/>
              <w:spacing w:before="60" w:after="60" w:line="240" w:lineRule="auto"/>
              <w:jc w:val="left"/>
              <w:rPr>
                <w:rFonts w:ascii="Times New Roman" w:hAnsi="Times New Roman" w:eastAsia="Times New Roman"/>
                <w:kern w:val="0"/>
                <w:sz w:val="20"/>
                <w:highlight w:val="green"/>
                <w:lang w:val="en-GB" w:eastAsia="en-US"/>
              </w:rPr>
            </w:pPr>
            <w:r>
              <w:rPr>
                <w:rFonts w:hint="eastAsia" w:ascii="Times New Roman" w:hAnsi="Times New Roman" w:eastAsia="Times New Roman"/>
                <w:kern w:val="0"/>
                <w:sz w:val="20"/>
                <w:highlight w:val="green"/>
                <w:lang w:val="en-GB" w:eastAsia="en-US"/>
              </w:rPr>
              <w:t>Agreement</w:t>
            </w:r>
          </w:p>
          <w:p w14:paraId="65871F8B">
            <w:pPr>
              <w:keepNext w:val="0"/>
              <w:keepLines w:val="0"/>
              <w:pageBreakBefore w:val="0"/>
              <w:widowControl/>
              <w:kinsoku/>
              <w:wordWrap/>
              <w:topLinePunct w:val="0"/>
              <w:bidi w:val="0"/>
              <w:snapToGrid/>
              <w:spacing w:before="60" w:after="60" w:line="240" w:lineRule="auto"/>
              <w:jc w:val="left"/>
              <w:rPr>
                <w:rFonts w:ascii="Times New Roman" w:hAnsi="Times New Roman" w:eastAsia="Times New Roman"/>
                <w:kern w:val="0"/>
                <w:sz w:val="20"/>
                <w:lang w:val="en-GB" w:eastAsia="en-US"/>
              </w:rPr>
            </w:pPr>
            <w:r>
              <w:rPr>
                <w:rFonts w:ascii="Times New Roman" w:hAnsi="Times New Roman" w:eastAsia="Times New Roman"/>
                <w:kern w:val="0"/>
                <w:sz w:val="20"/>
                <w:lang w:val="en-GB" w:eastAsia="en-US"/>
              </w:rPr>
              <w:t>Study reference configurations and power consumption model for 6G UE, considering but not restricted to the following:</w:t>
            </w:r>
          </w:p>
          <w:p w14:paraId="2056FE87">
            <w:pPr>
              <w:keepNext w:val="0"/>
              <w:keepLines w:val="0"/>
              <w:pageBreakBefore w:val="0"/>
              <w:widowControl/>
              <w:numPr>
                <w:ilvl w:val="0"/>
                <w:numId w:val="11"/>
              </w:numPr>
              <w:kinsoku/>
              <w:wordWrap/>
              <w:topLinePunct w:val="0"/>
              <w:bidi w:val="0"/>
              <w:snapToGrid/>
              <w:spacing w:before="60" w:after="60" w:line="240" w:lineRule="auto"/>
              <w:ind w:left="440" w:hanging="440"/>
              <w:jc w:val="left"/>
              <w:rPr>
                <w:rFonts w:ascii="Times New Roman" w:hAnsi="Times New Roman" w:eastAsia="Times New Roman"/>
                <w:kern w:val="0"/>
                <w:sz w:val="20"/>
                <w:lang w:val="en-GB" w:eastAsia="en-US"/>
              </w:rPr>
            </w:pPr>
            <w:r>
              <w:rPr>
                <w:rFonts w:ascii="Times New Roman" w:hAnsi="Times New Roman" w:eastAsia="Times New Roman"/>
                <w:kern w:val="0"/>
                <w:sz w:val="20"/>
                <w:lang w:val="en-GB" w:eastAsia="en-US"/>
              </w:rPr>
              <w:t>TR 38.840 (UEPS), TR38.875 (RedCap), TR38.865 (eRedCap), and TR38.869 (LP-WUS/WUR) for reference configurations</w:t>
            </w:r>
          </w:p>
          <w:p w14:paraId="61E13887">
            <w:pPr>
              <w:keepNext w:val="0"/>
              <w:keepLines w:val="0"/>
              <w:pageBreakBefore w:val="0"/>
              <w:widowControl/>
              <w:numPr>
                <w:ilvl w:val="0"/>
                <w:numId w:val="11"/>
              </w:numPr>
              <w:kinsoku/>
              <w:wordWrap/>
              <w:topLinePunct w:val="0"/>
              <w:bidi w:val="0"/>
              <w:snapToGrid/>
              <w:spacing w:before="60" w:after="60" w:line="240" w:lineRule="auto"/>
              <w:ind w:left="440" w:hanging="440"/>
              <w:jc w:val="left"/>
              <w:rPr>
                <w:rFonts w:ascii="Times New Roman" w:hAnsi="Times New Roman" w:eastAsia="Times New Roman"/>
                <w:kern w:val="0"/>
                <w:sz w:val="20"/>
                <w:lang w:val="en-GB" w:eastAsia="en-US"/>
              </w:rPr>
            </w:pPr>
            <w:r>
              <w:rPr>
                <w:rFonts w:ascii="Times New Roman" w:hAnsi="Times New Roman" w:eastAsia="Times New Roman"/>
                <w:kern w:val="0"/>
                <w:sz w:val="20"/>
                <w:lang w:val="en-GB" w:eastAsia="en-US"/>
              </w:rPr>
              <w:t>TR 38.840 (UEPS), TR38.875 (RedCap), and TR38.869 (LP-WUS/WUR) for power consumption models</w:t>
            </w:r>
          </w:p>
          <w:p w14:paraId="2BB3347F">
            <w:pPr>
              <w:keepNext w:val="0"/>
              <w:keepLines w:val="0"/>
              <w:pageBreakBefore w:val="0"/>
              <w:widowControl/>
              <w:kinsoku/>
              <w:wordWrap/>
              <w:topLinePunct w:val="0"/>
              <w:bidi w:val="0"/>
              <w:snapToGrid/>
              <w:spacing w:before="60" w:after="60" w:line="240" w:lineRule="auto"/>
              <w:jc w:val="left"/>
              <w:rPr>
                <w:rFonts w:ascii="Times New Roman" w:hAnsi="Times New Roman" w:eastAsia="Times New Roman"/>
                <w:kern w:val="0"/>
                <w:sz w:val="20"/>
                <w:highlight w:val="green"/>
                <w:lang w:val="en-GB" w:eastAsia="en-US"/>
              </w:rPr>
            </w:pPr>
            <w:r>
              <w:rPr>
                <w:rFonts w:hint="eastAsia" w:ascii="Times New Roman" w:hAnsi="Times New Roman" w:eastAsia="Times New Roman"/>
                <w:kern w:val="0"/>
                <w:sz w:val="20"/>
                <w:highlight w:val="green"/>
                <w:lang w:val="en-GB" w:eastAsia="en-US"/>
              </w:rPr>
              <w:t>Agreement</w:t>
            </w:r>
          </w:p>
          <w:p w14:paraId="44445B62">
            <w:pPr>
              <w:keepNext w:val="0"/>
              <w:keepLines w:val="0"/>
              <w:pageBreakBefore w:val="0"/>
              <w:widowControl/>
              <w:numPr>
                <w:ilvl w:val="0"/>
                <w:numId w:val="12"/>
              </w:numPr>
              <w:kinsoku/>
              <w:wordWrap/>
              <w:topLinePunct w:val="0"/>
              <w:bidi w:val="0"/>
              <w:snapToGrid/>
              <w:spacing w:before="60" w:after="60" w:line="240" w:lineRule="auto"/>
              <w:ind w:left="440" w:hanging="440"/>
              <w:jc w:val="left"/>
              <w:rPr>
                <w:rFonts w:ascii="Times New Roman" w:hAnsi="Times New Roman" w:eastAsia="Times New Roman"/>
                <w:kern w:val="0"/>
                <w:sz w:val="20"/>
                <w:lang w:val="en-GB" w:eastAsia="en-US"/>
              </w:rPr>
            </w:pPr>
            <w:r>
              <w:rPr>
                <w:rFonts w:ascii="Times New Roman" w:hAnsi="Times New Roman" w:eastAsia="Times New Roman"/>
                <w:kern w:val="0"/>
                <w:sz w:val="20"/>
                <w:lang w:val="en-GB" w:eastAsia="en-US"/>
              </w:rPr>
              <w:t>Study baseline BS setting(s) for evaluating 6G BS EE improvement/impact, considering</w:t>
            </w:r>
            <w:r>
              <w:rPr>
                <w:rFonts w:hint="eastAsia" w:ascii="Times New Roman" w:hAnsi="Times New Roman" w:eastAsia="等线"/>
                <w:kern w:val="0"/>
                <w:sz w:val="20"/>
                <w:lang w:val="en-GB" w:eastAsia="zh-CN"/>
              </w:rPr>
              <w:t xml:space="preserve"> </w:t>
            </w:r>
            <w:r>
              <w:rPr>
                <w:rFonts w:ascii="Times New Roman" w:hAnsi="Times New Roman" w:eastAsia="Times New Roman"/>
                <w:kern w:val="0"/>
                <w:sz w:val="20"/>
                <w:lang w:val="en-GB" w:eastAsia="en-US"/>
              </w:rPr>
              <w:t>NR features and 6G BS reference configuration(s)</w:t>
            </w:r>
          </w:p>
          <w:p w14:paraId="0047DD48">
            <w:pPr>
              <w:keepNext w:val="0"/>
              <w:keepLines w:val="0"/>
              <w:pageBreakBefore w:val="0"/>
              <w:widowControl/>
              <w:numPr>
                <w:ilvl w:val="0"/>
                <w:numId w:val="12"/>
              </w:numPr>
              <w:kinsoku/>
              <w:wordWrap/>
              <w:topLinePunct w:val="0"/>
              <w:bidi w:val="0"/>
              <w:snapToGrid/>
              <w:spacing w:before="60" w:after="60" w:line="240" w:lineRule="auto"/>
              <w:ind w:left="440" w:hanging="440"/>
              <w:jc w:val="left"/>
              <w:rPr>
                <w:rFonts w:hint="default" w:ascii="Times New Roman" w:hAnsi="Times New Roman" w:eastAsia="等线"/>
                <w:bCs/>
                <w:iCs/>
                <w:sz w:val="20"/>
                <w:szCs w:val="20"/>
                <w:vertAlign w:val="baseline"/>
                <w:lang w:val="en-US" w:eastAsia="zh-CN"/>
              </w:rPr>
            </w:pPr>
            <w:r>
              <w:rPr>
                <w:rFonts w:ascii="Times New Roman" w:hAnsi="Times New Roman" w:eastAsia="Times New Roman"/>
                <w:kern w:val="0"/>
                <w:sz w:val="20"/>
                <w:lang w:val="en-GB" w:eastAsia="en-US"/>
              </w:rPr>
              <w:t>Study baseline UE setting(s) for evaluating 6G UE EE improvement/impact, considering NR features and 6G UE reference configuration(s)</w:t>
            </w:r>
          </w:p>
        </w:tc>
      </w:tr>
    </w:tbl>
    <w:p w14:paraId="61A1BD5B">
      <w:pPr>
        <w:keepNext w:val="0"/>
        <w:keepLines w:val="0"/>
        <w:pageBreakBefore w:val="0"/>
        <w:kinsoku/>
        <w:wordWrap/>
        <w:topLinePunct w:val="0"/>
        <w:bidi w:val="0"/>
        <w:snapToGrid/>
        <w:spacing w:before="60" w:after="60" w:line="240" w:lineRule="auto"/>
        <w:rPr>
          <w:rFonts w:hint="eastAsia" w:ascii="Times New Roman" w:hAnsi="Times New Roman" w:eastAsia="等线"/>
          <w:bCs/>
          <w:iCs/>
          <w:sz w:val="20"/>
          <w:szCs w:val="20"/>
          <w:lang w:val="en-US" w:eastAsia="zh-CN"/>
        </w:rPr>
      </w:pPr>
    </w:p>
    <w:p w14:paraId="43975A3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From RAN4 RRM perspective, from UE side, the L1/L3 measurement occupy the main energy consumption. From initial 5G design, the measurement requirements are bounded with DRX cycle configuration, which can help UE unified behavior in DRX ON/OFF period, target to energy efficiency purpose. Some further power saving features has been introduced in later releases, including the measurement relaxation in RRC IDLE/Inactive, RLM/BFD measurement relaxation, LP-WUR assistance and so on. All about measurement relax under good link quality and low mobility state.</w:t>
      </w:r>
    </w:p>
    <w:p w14:paraId="73220B2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6G Day1, we think all lessons from NR can be considered for measurement design of energy efficiency purpose, we list our initial consideration below. However, most of them need the PHY and higher layer support, RAN4 need to wait the RAN1/RAN2 progress and then refine our design strategy.</w:t>
      </w:r>
    </w:p>
    <w:p w14:paraId="3F6C232E">
      <w:pPr>
        <w:keepNext w:val="0"/>
        <w:keepLines w:val="0"/>
        <w:pageBreakBefore w:val="0"/>
        <w:numPr>
          <w:ilvl w:val="0"/>
          <w:numId w:val="13"/>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Whether to continue the DRX cycle bounded measurement requirement in 6G</w:t>
      </w:r>
    </w:p>
    <w:p w14:paraId="28BCB60D">
      <w:pPr>
        <w:keepNext w:val="0"/>
        <w:keepLines w:val="0"/>
        <w:pageBreakBefore w:val="0"/>
        <w:numPr>
          <w:ilvl w:val="0"/>
          <w:numId w:val="13"/>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Whether to integrate the link quality and mobility state with measurement requirement in 6G Day1</w:t>
      </w:r>
    </w:p>
    <w:p w14:paraId="07ECDA87">
      <w:pPr>
        <w:keepNext w:val="0"/>
        <w:keepLines w:val="0"/>
        <w:pageBreakBefore w:val="0"/>
        <w:numPr>
          <w:ilvl w:val="0"/>
          <w:numId w:val="13"/>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Omitting repeated measurement behaviors. Unified L1/L3 measurement as we discussed in Clause 2.2 can be the starting point.</w:t>
      </w:r>
    </w:p>
    <w:p w14:paraId="23320A39">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11: For UE energy efficiency, RAN4 need to wait the RAN1/RAN2 progress and then refine measurement design strategy, our initial thinking is as below:</w:t>
      </w:r>
    </w:p>
    <w:p w14:paraId="4E4E852E">
      <w:pPr>
        <w:keepNext w:val="0"/>
        <w:keepLines w:val="0"/>
        <w:pageBreakBefore w:val="0"/>
        <w:numPr>
          <w:ilvl w:val="0"/>
          <w:numId w:val="14"/>
        </w:numPr>
        <w:kinsoku/>
        <w:wordWrap/>
        <w:topLinePunct w:val="0"/>
        <w:bidi w:val="0"/>
        <w:snapToGrid/>
        <w:spacing w:before="60" w:after="60" w:line="240" w:lineRule="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Whether to continue the DRX cycle bounded measurement requirement in 6G</w:t>
      </w:r>
    </w:p>
    <w:p w14:paraId="7A711F75">
      <w:pPr>
        <w:keepNext w:val="0"/>
        <w:keepLines w:val="0"/>
        <w:pageBreakBefore w:val="0"/>
        <w:numPr>
          <w:ilvl w:val="0"/>
          <w:numId w:val="14"/>
        </w:numPr>
        <w:kinsoku/>
        <w:wordWrap/>
        <w:topLinePunct w:val="0"/>
        <w:bidi w:val="0"/>
        <w:snapToGrid/>
        <w:spacing w:before="60" w:after="60" w:line="240" w:lineRule="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Whether to integrate the link quality and mobility state with measurement requirement in 6G Day1</w:t>
      </w:r>
    </w:p>
    <w:p w14:paraId="6E32A96B">
      <w:pPr>
        <w:keepNext w:val="0"/>
        <w:keepLines w:val="0"/>
        <w:pageBreakBefore w:val="0"/>
        <w:numPr>
          <w:ilvl w:val="0"/>
          <w:numId w:val="14"/>
        </w:numPr>
        <w:kinsoku/>
        <w:wordWrap/>
        <w:topLinePunct w:val="0"/>
        <w:bidi w:val="0"/>
        <w:snapToGrid/>
        <w:spacing w:before="60" w:after="60" w:line="240" w:lineRule="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Merge repeated measurement behaviors. Unified L1/L3 measurement as we discussed in Clause 2.4 can be the starting point.</w:t>
      </w:r>
    </w:p>
    <w:p w14:paraId="65AFAE0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From RAN4 RRM perspective, from BS side, network energy saving attract 3GPP attention gradually, and several features have been introduced from Rel-18, including SSB-less SCell, cell DTX/DRX, OD-SSB SCell, OD-SIB1, adaptation of common signal/channel transmissions and so on, mainly about omit or sparse the transmission of common periodic reference signals, or replace periodic common reference signals with aperiodic reference signal or on demand reference signal.</w:t>
      </w:r>
    </w:p>
    <w:p w14:paraId="3D878930">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We think the energy efficiency at BS side are highly related with RAN1/2 design. In RAN1#122 meeting, following agreements has been achieved. RAN4 shall continuously tracking the progress of PHY/higher layer design, and identify the feasible corresponding BS energy efficiency strategy in RAN4 scope.</w:t>
      </w:r>
    </w:p>
    <w:p w14:paraId="5B1A9098">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highlight w:val="green"/>
          <w:lang w:val="en-US" w:eastAsia="zh-CN"/>
        </w:rPr>
      </w:pPr>
      <w:r>
        <w:rPr>
          <w:rFonts w:hint="default" w:ascii="Times New Roman" w:hAnsi="Times New Roman" w:eastAsia="等线"/>
          <w:bCs/>
          <w:iCs/>
          <w:sz w:val="20"/>
          <w:szCs w:val="20"/>
          <w:highlight w:val="green"/>
          <w:lang w:val="en-US" w:eastAsia="zh-CN"/>
        </w:rPr>
        <w:t>Agreement</w:t>
      </w:r>
    </w:p>
    <w:p w14:paraId="1FD40497">
      <w:pPr>
        <w:keepNext w:val="0"/>
        <w:keepLines w:val="0"/>
        <w:pageBreakBefore w:val="0"/>
        <w:widowControl/>
        <w:numPr>
          <w:ilvl w:val="0"/>
          <w:numId w:val="10"/>
        </w:numPr>
        <w:kinsoku/>
        <w:wordWrap/>
        <w:topLinePunct w:val="0"/>
        <w:bidi w:val="0"/>
        <w:snapToGrid/>
        <w:spacing w:before="60" w:after="60" w:line="240" w:lineRule="auto"/>
        <w:ind w:left="440" w:hanging="440"/>
        <w:jc w:val="left"/>
        <w:rPr>
          <w:rFonts w:hint="default" w:ascii="Times New Roman" w:hAnsi="Times New Roman" w:eastAsia="等线"/>
          <w:bCs/>
          <w:iCs/>
          <w:sz w:val="20"/>
          <w:szCs w:val="20"/>
          <w:highlight w:val="green"/>
          <w:lang w:val="en-US" w:eastAsia="zh-CN"/>
        </w:rPr>
      </w:pPr>
      <w:r>
        <w:rPr>
          <w:rFonts w:hint="default" w:ascii="Times New Roman" w:hAnsi="Times New Roman" w:eastAsia="等线"/>
          <w:bCs/>
          <w:iCs/>
          <w:sz w:val="20"/>
          <w:szCs w:val="20"/>
          <w:highlight w:val="green"/>
          <w:lang w:val="en-US" w:eastAsia="zh-CN"/>
        </w:rPr>
        <w:t>Identify the high-level aspects which impact on the 6GR sync signal structure and associated periodicity.</w:t>
      </w:r>
    </w:p>
    <w:p w14:paraId="1AF08987">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12: For BS energy efficiency, RAN4 need to wait the RAN1/RAN2 progress and then identify the feasible corresponding BS energy efficiency strategy which can be done within RAN4 scope</w:t>
      </w:r>
    </w:p>
    <w:p w14:paraId="2F3D04B8">
      <w:pPr>
        <w:rPr>
          <w:rFonts w:ascii="Times New Roman" w:hAnsi="Times New Roman"/>
          <w:i/>
          <w:sz w:val="20"/>
          <w:szCs w:val="20"/>
        </w:rPr>
      </w:pPr>
    </w:p>
    <w:p w14:paraId="744CF888">
      <w:pPr>
        <w:keepNext w:val="0"/>
        <w:keepLines w:val="0"/>
        <w:pageBreakBefore w:val="0"/>
        <w:widowControl w:val="0"/>
        <w:kinsoku/>
        <w:wordWrap/>
        <w:overflowPunct/>
        <w:topLinePunct w:val="0"/>
        <w:autoSpaceDE/>
        <w:autoSpaceDN/>
        <w:bidi w:val="0"/>
        <w:adjustRightInd/>
        <w:snapToGrid/>
        <w:spacing w:after="180" w:line="240" w:lineRule="exact"/>
        <w:textAlignment w:val="auto"/>
        <w:outlineLvl w:val="1"/>
        <w:rPr>
          <w:rFonts w:hint="default" w:ascii="Times New Roman" w:hAnsi="Times New Roman" w:eastAsia="等线"/>
          <w:b/>
          <w:bCs w:val="0"/>
          <w:iCs/>
          <w:sz w:val="20"/>
          <w:szCs w:val="20"/>
          <w:lang w:val="en-US" w:eastAsia="zh-CN"/>
        </w:rPr>
      </w:pPr>
      <w:r>
        <w:rPr>
          <w:rFonts w:hint="eastAsia" w:ascii="Times New Roman" w:hAnsi="Times New Roman" w:eastAsia="等线"/>
          <w:b/>
          <w:bCs w:val="0"/>
          <w:iCs/>
          <w:sz w:val="20"/>
          <w:szCs w:val="20"/>
          <w:lang w:val="en-US" w:eastAsia="zh-CN"/>
        </w:rPr>
        <w:t>2.7 NTN</w:t>
      </w:r>
    </w:p>
    <w:p w14:paraId="4D9B230C">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From 6GR SID, the harmonized 6G Radio design for TN and NTN is the one of the baseline design principles of 6G technology framework.</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6461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442CCA9">
            <w:pPr>
              <w:keepNext w:val="0"/>
              <w:keepLines w:val="0"/>
              <w:pageBreakBefore w:val="0"/>
              <w:numPr>
                <w:ilvl w:val="0"/>
                <w:numId w:val="15"/>
              </w:numPr>
              <w:kinsoku/>
              <w:wordWrap/>
              <w:overflowPunct w:val="0"/>
              <w:topLinePunct w:val="0"/>
              <w:autoSpaceDE w:val="0"/>
              <w:autoSpaceDN w:val="0"/>
              <w:bidi w:val="0"/>
              <w:adjustRightInd w:val="0"/>
              <w:snapToGrid/>
              <w:spacing w:before="60" w:after="60" w:line="240" w:lineRule="auto"/>
              <w:ind w:left="72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Single technology framework based on a stand-alone architecture</w:t>
            </w:r>
            <w:r>
              <w:rPr>
                <w:rFonts w:hint="eastAsia" w:ascii="Times New Roman" w:hAnsi="Times New Roman" w:eastAsia="MS Mincho" w:cs="Times New Roman"/>
                <w:color w:val="000000"/>
                <w:sz w:val="20"/>
                <w:szCs w:val="20"/>
                <w:lang w:val="en-GB" w:eastAsia="ja-JP" w:bidi="ar-SA"/>
              </w:rPr>
              <w:t xml:space="preserve"> (Note1)</w:t>
            </w:r>
            <w:r>
              <w:rPr>
                <w:rFonts w:ascii="Times New Roman" w:hAnsi="Times New Roman" w:eastAsia="MS Mincho" w:cs="Times New Roman"/>
                <w:color w:val="000000"/>
                <w:sz w:val="20"/>
                <w:szCs w:val="20"/>
                <w:lang w:val="en-GB" w:eastAsia="en-GB" w:bidi="ar-SA"/>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5D3E4B2">
            <w:pPr>
              <w:keepNext w:val="0"/>
              <w:keepLines w:val="0"/>
              <w:pageBreakBefore w:val="0"/>
              <w:numPr>
                <w:ilvl w:val="1"/>
                <w:numId w:val="9"/>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Ensuring appropriate set of functionalities, minimize the adoption of multiple options for the same functionality, avoid excessive configurations, excessive UE capabilities and UE capabilities reporting.</w:t>
            </w:r>
          </w:p>
          <w:p w14:paraId="31946C78">
            <w:pPr>
              <w:keepNext w:val="0"/>
              <w:keepLines w:val="0"/>
              <w:pageBreakBefore w:val="0"/>
              <w:numPr>
                <w:ilvl w:val="1"/>
                <w:numId w:val="16"/>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highlight w:val="none"/>
                <w:lang w:val="en-GB" w:eastAsia="en-GB" w:bidi="ar-SA"/>
              </w:rPr>
            </w:pPr>
            <w:r>
              <w:rPr>
                <w:rFonts w:ascii="Times New Roman" w:hAnsi="Times New Roman" w:eastAsia="MS Mincho" w:cs="Times New Roman"/>
                <w:color w:val="000000"/>
                <w:sz w:val="20"/>
                <w:szCs w:val="20"/>
                <w:highlight w:val="none"/>
                <w:lang w:val="en-GB" w:eastAsia="en-GB" w:bidi="ar-SA"/>
              </w:rPr>
              <w:t>Energy efficiency and energy saving: both for network and device.</w:t>
            </w:r>
          </w:p>
          <w:p w14:paraId="4C35334C">
            <w:pPr>
              <w:keepNext w:val="0"/>
              <w:keepLines w:val="0"/>
              <w:pageBreakBefore w:val="0"/>
              <w:numPr>
                <w:ilvl w:val="1"/>
                <w:numId w:val="16"/>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 xml:space="preserve">Enhanced spectral efficiency. </w:t>
            </w:r>
          </w:p>
          <w:p w14:paraId="79DBDA20">
            <w:pPr>
              <w:keepNext w:val="0"/>
              <w:keepLines w:val="0"/>
              <w:pageBreakBefore w:val="0"/>
              <w:numPr>
                <w:ilvl w:val="1"/>
                <w:numId w:val="16"/>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Enhanced overall coverage, focus on cell-edge performance and UL coverage.</w:t>
            </w:r>
          </w:p>
          <w:p w14:paraId="5A12D964">
            <w:pPr>
              <w:keepNext w:val="0"/>
              <w:keepLines w:val="0"/>
              <w:pageBreakBefore w:val="0"/>
              <w:numPr>
                <w:ilvl w:val="1"/>
                <w:numId w:val="16"/>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Wider channel bandwidth (at least 200MHz) support for 6G deployments at least above 2 GHz, around 7 GHz.</w:t>
            </w:r>
          </w:p>
          <w:p w14:paraId="5160AB7C">
            <w:pPr>
              <w:keepNext w:val="0"/>
              <w:keepLines w:val="0"/>
              <w:pageBreakBefore w:val="0"/>
              <w:numPr>
                <w:ilvl w:val="1"/>
                <w:numId w:val="16"/>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Re-use of existing 5G mid-band (~3.5GHz) site grid for 6G deployments in at least around 7 GHz and targeting comparable coverage to 5G mid-band.</w:t>
            </w:r>
          </w:p>
          <w:p w14:paraId="67148964">
            <w:pPr>
              <w:keepNext w:val="0"/>
              <w:keepLines w:val="0"/>
              <w:pageBreakBefore w:val="0"/>
              <w:numPr>
                <w:ilvl w:val="1"/>
                <w:numId w:val="16"/>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Target scalable and forward compatible design for diverse device types.</w:t>
            </w:r>
          </w:p>
          <w:p w14:paraId="12B17722">
            <w:pPr>
              <w:keepNext w:val="0"/>
              <w:keepLines w:val="0"/>
              <w:pageBreakBefore w:val="0"/>
              <w:numPr>
                <w:ilvl w:val="1"/>
                <w:numId w:val="16"/>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Improved spectrum utilization and operations taking into account diverse spectrum allocations.</w:t>
            </w:r>
          </w:p>
          <w:p w14:paraId="381AAFC2">
            <w:pPr>
              <w:keepNext w:val="0"/>
              <w:keepLines w:val="0"/>
              <w:pageBreakBefore w:val="0"/>
              <w:numPr>
                <w:ilvl w:val="1"/>
                <w:numId w:val="16"/>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lang w:val="en-GB" w:eastAsia="en-GB" w:bidi="ar-SA"/>
              </w:rPr>
            </w:pPr>
            <w:r>
              <w:rPr>
                <w:rFonts w:ascii="Times New Roman" w:hAnsi="Times New Roman" w:eastAsia="MS Mincho" w:cs="Times New Roman"/>
                <w:color w:val="000000"/>
                <w:sz w:val="20"/>
                <w:szCs w:val="20"/>
                <w:lang w:val="en-GB" w:eastAsia="en-GB" w:bidi="ar-SA"/>
              </w:rPr>
              <w:t>Aim at using common 6G Radio design, which meets mobile broadband service requirements as high priority, to also meet vertical needs.</w:t>
            </w:r>
          </w:p>
          <w:p w14:paraId="00970423">
            <w:pPr>
              <w:keepNext w:val="0"/>
              <w:keepLines w:val="0"/>
              <w:pageBreakBefore w:val="0"/>
              <w:numPr>
                <w:ilvl w:val="1"/>
                <w:numId w:val="16"/>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ascii="Times New Roman" w:hAnsi="Times New Roman" w:eastAsia="MS Mincho" w:cs="Times New Roman"/>
                <w:color w:val="000000"/>
                <w:sz w:val="20"/>
                <w:szCs w:val="20"/>
                <w:highlight w:val="yellow"/>
                <w:lang w:val="en-GB" w:eastAsia="en-GB" w:bidi="ar-SA"/>
              </w:rPr>
            </w:pPr>
            <w:r>
              <w:rPr>
                <w:rFonts w:ascii="Times New Roman" w:hAnsi="Times New Roman" w:eastAsia="MS Mincho" w:cs="Times New Roman"/>
                <w:color w:val="000000"/>
                <w:sz w:val="20"/>
                <w:szCs w:val="20"/>
                <w:highlight w:val="yellow"/>
                <w:lang w:val="en-GB" w:eastAsia="en-GB" w:bidi="ar-SA"/>
              </w:rPr>
              <w:t>Aim at a harmonized 6G Radio design for TN and NTN, including their integration.</w:t>
            </w:r>
          </w:p>
          <w:p w14:paraId="22C76928">
            <w:pPr>
              <w:keepNext w:val="0"/>
              <w:keepLines w:val="0"/>
              <w:pageBreakBefore w:val="0"/>
              <w:numPr>
                <w:ilvl w:val="1"/>
                <w:numId w:val="16"/>
              </w:numPr>
              <w:kinsoku/>
              <w:wordWrap/>
              <w:overflowPunct w:val="0"/>
              <w:topLinePunct w:val="0"/>
              <w:autoSpaceDE w:val="0"/>
              <w:autoSpaceDN w:val="0"/>
              <w:bidi w:val="0"/>
              <w:adjustRightInd w:val="0"/>
              <w:snapToGrid/>
              <w:spacing w:before="60" w:after="60" w:line="240" w:lineRule="auto"/>
              <w:ind w:left="1440" w:hanging="360"/>
              <w:contextualSpacing/>
              <w:textAlignment w:val="baseline"/>
              <w:rPr>
                <w:rFonts w:hint="eastAsia" w:ascii="Times New Roman" w:hAnsi="Times New Roman" w:eastAsia="等线"/>
                <w:bCs/>
                <w:iCs/>
                <w:sz w:val="20"/>
                <w:szCs w:val="20"/>
                <w:vertAlign w:val="baseline"/>
                <w:lang w:val="en-US" w:eastAsia="zh-CN"/>
              </w:rPr>
            </w:pPr>
            <w:r>
              <w:rPr>
                <w:rFonts w:ascii="Times New Roman" w:hAnsi="Times New Roman" w:eastAsia="MS Mincho" w:cs="Times New Roman"/>
                <w:color w:val="000000"/>
                <w:sz w:val="20"/>
                <w:szCs w:val="20"/>
                <w:lang w:val="en-GB" w:eastAsia="en-GB" w:bidi="ar-SA"/>
              </w:rPr>
              <w:t>System simplification, including reducing configuration complexity, enabling more efficient Cell/UE management, etc.</w:t>
            </w:r>
          </w:p>
        </w:tc>
      </w:tr>
    </w:tbl>
    <w:p w14:paraId="4AAD8865">
      <w:pPr>
        <w:spacing w:after="180" w:line="240" w:lineRule="exact"/>
        <w:rPr>
          <w:rFonts w:hint="eastAsia" w:ascii="Times New Roman" w:hAnsi="Times New Roman" w:eastAsia="等线"/>
          <w:bCs/>
          <w:iCs/>
          <w:sz w:val="20"/>
          <w:szCs w:val="20"/>
          <w:lang w:val="en-US" w:eastAsia="zh-CN"/>
        </w:rPr>
      </w:pPr>
    </w:p>
    <w:p w14:paraId="1CC2A84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RAN1 achieved following related agreement, the specific discussion on NTN agenda is still pending.</w:t>
      </w:r>
    </w:p>
    <w:p w14:paraId="621B29A4">
      <w:pPr>
        <w:keepNext w:val="0"/>
        <w:keepLines w:val="0"/>
        <w:pageBreakBefore w:val="0"/>
        <w:widowControl/>
        <w:kinsoku/>
        <w:wordWrap/>
        <w:topLinePunct w:val="0"/>
        <w:bidi w:val="0"/>
        <w:snapToGrid/>
        <w:spacing w:before="60" w:after="60" w:line="240" w:lineRule="auto"/>
        <w:jc w:val="left"/>
        <w:rPr>
          <w:rFonts w:ascii="Times New Roman" w:hAnsi="Times New Roman" w:eastAsia="等线"/>
          <w:kern w:val="0"/>
          <w:sz w:val="20"/>
          <w:szCs w:val="20"/>
          <w:highlight w:val="green"/>
          <w:lang w:val="en-US" w:eastAsia="zh-CN"/>
        </w:rPr>
      </w:pPr>
      <w:r>
        <w:rPr>
          <w:rFonts w:hint="eastAsia" w:ascii="Times New Roman" w:hAnsi="Times New Roman" w:eastAsia="等线"/>
          <w:kern w:val="0"/>
          <w:sz w:val="20"/>
          <w:szCs w:val="20"/>
          <w:highlight w:val="green"/>
          <w:lang w:val="en-US" w:eastAsia="zh-CN"/>
        </w:rPr>
        <w:t>Agreement</w:t>
      </w:r>
    </w:p>
    <w:p w14:paraId="0A66F106">
      <w:pPr>
        <w:keepNext w:val="0"/>
        <w:keepLines w:val="0"/>
        <w:pageBreakBefore w:val="0"/>
        <w:numPr>
          <w:ilvl w:val="0"/>
          <w:numId w:val="17"/>
        </w:numPr>
        <w:kinsoku/>
        <w:wordWrap/>
        <w:topLinePunct w:val="0"/>
        <w:bidi w:val="0"/>
        <w:snapToGrid/>
        <w:spacing w:before="60" w:after="60" w:line="240" w:lineRule="auto"/>
        <w:ind w:left="440" w:leftChars="0" w:hanging="440"/>
        <w:contextualSpacing/>
        <w:jc w:val="both"/>
        <w:rPr>
          <w:rFonts w:ascii="Times New Roman" w:hAnsi="Times New Roman" w:eastAsia="Batang" w:cs="Times New Roman"/>
          <w:sz w:val="20"/>
          <w:szCs w:val="20"/>
          <w:highlight w:val="green"/>
          <w:lang w:val="en-US" w:eastAsia="zh-CN" w:bidi="ar-SA"/>
        </w:rPr>
      </w:pPr>
      <w:r>
        <w:rPr>
          <w:rFonts w:hint="eastAsia" w:ascii="Times New Roman" w:hAnsi="Times New Roman" w:eastAsia="Batang" w:cs="Times New Roman"/>
          <w:sz w:val="20"/>
          <w:szCs w:val="20"/>
          <w:highlight w:val="green"/>
          <w:lang w:val="en-US" w:eastAsia="zh-CN" w:bidi="ar-SA"/>
        </w:rPr>
        <w:t xml:space="preserve">For </w:t>
      </w:r>
      <w:r>
        <w:rPr>
          <w:rFonts w:ascii="Times New Roman" w:hAnsi="Times New Roman" w:eastAsia="Batang" w:cs="Times New Roman"/>
          <w:sz w:val="20"/>
          <w:szCs w:val="20"/>
          <w:highlight w:val="green"/>
          <w:lang w:val="en-US" w:eastAsia="zh-CN" w:bidi="ar-SA"/>
        </w:rPr>
        <w:t>harmonized 6G</w:t>
      </w:r>
      <w:r>
        <w:rPr>
          <w:rFonts w:hint="eastAsia" w:ascii="Times New Roman" w:hAnsi="Times New Roman" w:eastAsia="Batang" w:cs="Times New Roman"/>
          <w:sz w:val="20"/>
          <w:szCs w:val="20"/>
          <w:highlight w:val="green"/>
          <w:lang w:val="en-US" w:eastAsia="zh-CN" w:bidi="ar-SA"/>
        </w:rPr>
        <w:t xml:space="preserve">R </w:t>
      </w:r>
      <w:r>
        <w:rPr>
          <w:rFonts w:ascii="Times New Roman" w:hAnsi="Times New Roman" w:eastAsia="Batang" w:cs="Times New Roman"/>
          <w:sz w:val="20"/>
          <w:szCs w:val="20"/>
          <w:highlight w:val="green"/>
          <w:lang w:val="en-US" w:eastAsia="zh-CN" w:bidi="ar-SA"/>
        </w:rPr>
        <w:t>design for TN and NTN</w:t>
      </w:r>
      <w:r>
        <w:rPr>
          <w:rFonts w:hint="eastAsia" w:ascii="Times New Roman" w:hAnsi="Times New Roman" w:eastAsia="Batang" w:cs="Times New Roman"/>
          <w:sz w:val="20"/>
          <w:szCs w:val="20"/>
          <w:highlight w:val="green"/>
          <w:lang w:val="en-US" w:eastAsia="zh-CN" w:bidi="ar-SA"/>
        </w:rPr>
        <w:t>, RAN1 studies to identify the technical aspects affected by NTN characteristics</w:t>
      </w:r>
      <w:r>
        <w:rPr>
          <w:rFonts w:hint="eastAsia" w:ascii="Times New Roman" w:hAnsi="Times New Roman" w:eastAsia="等线" w:cs="Times New Roman"/>
          <w:sz w:val="20"/>
          <w:szCs w:val="20"/>
          <w:highlight w:val="green"/>
          <w:lang w:val="en-US" w:eastAsia="zh-CN" w:bidi="ar-SA"/>
        </w:rPr>
        <w:t>, as well as lessons learned from NR/IoT NTN</w:t>
      </w:r>
    </w:p>
    <w:p w14:paraId="77BB943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5G, the RRM requirements for TN network and SAN were defined separately. Considering the large propagation delay difference and doppler difference caused by NTN network deployment, the main UE measurement difference between TN and NTN at least including the following:</w:t>
      </w:r>
    </w:p>
    <w:p w14:paraId="12626C2E">
      <w:pPr>
        <w:keepNext w:val="0"/>
        <w:keepLines w:val="0"/>
        <w:pageBreakBefore w:val="0"/>
        <w:numPr>
          <w:ilvl w:val="0"/>
          <w:numId w:val="18"/>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One SMTC offset can not cover inter-frequency cells due to large propagation delay</w:t>
      </w:r>
    </w:p>
    <w:p w14:paraId="306DAD1F">
      <w:pPr>
        <w:keepNext w:val="0"/>
        <w:keepLines w:val="0"/>
        <w:pageBreakBefore w:val="0"/>
        <w:numPr>
          <w:ilvl w:val="0"/>
          <w:numId w:val="18"/>
        </w:numPr>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NTN, on a single frequency carrier, limited number of SMTC that UE can process in parallel </w:t>
      </w:r>
    </w:p>
    <w:p w14:paraId="363AE045">
      <w:pPr>
        <w:keepNext w:val="0"/>
        <w:keepLines w:val="0"/>
        <w:pageBreakBefore w:val="0"/>
        <w:numPr>
          <w:ilvl w:val="0"/>
          <w:numId w:val="18"/>
        </w:numPr>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limited number of MG that UE can process in parallel</w:t>
      </w:r>
    </w:p>
    <w:p w14:paraId="0EAF77AE">
      <w:pPr>
        <w:keepNext w:val="0"/>
        <w:keepLines w:val="0"/>
        <w:pageBreakBefore w:val="0"/>
        <w:numPr>
          <w:ilvl w:val="0"/>
          <w:numId w:val="18"/>
        </w:numPr>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within one SMTC, limited number of measurement on NGSO satellites that UE can process in parallel</w:t>
      </w:r>
    </w:p>
    <w:p w14:paraId="55B7EE9F">
      <w:pPr>
        <w:keepNext w:val="0"/>
        <w:keepLines w:val="0"/>
        <w:pageBreakBefore w:val="0"/>
        <w:numPr>
          <w:ilvl w:val="0"/>
          <w:numId w:val="18"/>
        </w:numPr>
        <w:kinsoku/>
        <w:wordWrap/>
        <w:topLinePunct w:val="0"/>
        <w:bidi w:val="0"/>
        <w:snapToGrid/>
        <w:spacing w:before="60" w:after="60" w:line="240" w:lineRule="auto"/>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NTN, on a single carrier, limited number of target NGSO satellites that UE can monitor </w:t>
      </w:r>
    </w:p>
    <w:p w14:paraId="0B423AE8">
      <w:pPr>
        <w:keepNext w:val="0"/>
        <w:keepLines w:val="0"/>
        <w:pageBreakBefore w:val="0"/>
        <w:numPr>
          <w:ilvl w:val="0"/>
          <w:numId w:val="18"/>
        </w:numPr>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NTN, UE normal operation on serving cell in parallel with measurement on difference NGSO satellite depends on UE capability.</w:t>
      </w:r>
    </w:p>
    <w:p w14:paraId="028D1EF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Towards 6G, the baseline UE measurement capability shall be reconsidered, which shall be further enhanced from NR assumption. From our perspective, at least the UE capability of parallelSMTC-r17, parallelMeasurementGap-r17, parallelMeasurementWithoutRestriction-r17 need to be inherited as mandatory to 6G.</w:t>
      </w:r>
    </w:p>
    <w:p w14:paraId="7D43284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Regarding the harmonized 6G Radio design for TN and NTN, from RAN4 RRM perspective, if both TN measurement and NTN measurement are configured to UE, the measurement priority shall be under network control. Considering the continuous and extensive deployment of TN network, the measurement on TN carrier shall have higher priority as the default assumption.</w:t>
      </w:r>
    </w:p>
    <w:p w14:paraId="673902F4">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13: Towards 6G, the baseline UE measurement capability shall be reconsidered, at least the UE capability of parallelSMTC-r17, parallelMeasurementGap-r17, parallelMeasurementWithoutRestriction-r17 need to be inherited as mandatory to 6G.</w:t>
      </w:r>
    </w:p>
    <w:p w14:paraId="1E4C9627">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14</w:t>
      </w:r>
      <w:bookmarkStart w:id="8" w:name="_GoBack"/>
      <w:bookmarkEnd w:id="8"/>
      <w:r>
        <w:rPr>
          <w:rFonts w:hint="eastAsia" w:ascii="Times New Roman" w:hAnsi="Times New Roman" w:eastAsia="等线"/>
          <w:b/>
          <w:bCs w:val="0"/>
          <w:i/>
          <w:iCs w:val="0"/>
          <w:sz w:val="20"/>
          <w:szCs w:val="20"/>
          <w:lang w:val="en-US" w:eastAsia="zh-CN"/>
        </w:rPr>
        <w:t>: Within the harmonized 6G Radio design for TN and NTN, if both TN measurement and NTN measurement are configured to UE, the measurement priority shall be under network control, the measurement on TN carrier shall have higher priority as the default assumption.</w:t>
      </w:r>
    </w:p>
    <w:p w14:paraId="5B7CAC68">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RRM for 6GR</w:t>
      </w:r>
      <w:r>
        <w:rPr>
          <w:rFonts w:hint="eastAsia" w:ascii="Times New Roman" w:hAnsi="Times New Roman"/>
          <w:sz w:val="20"/>
          <w:szCs w:val="20"/>
        </w:rPr>
        <w:t>. The proposals are:</w:t>
      </w:r>
    </w:p>
    <w:p w14:paraId="5100885C">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 in general, it is proposed to consider following table as starting point for 6G study on RRM requirements and procedure aspects.</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2"/>
        <w:gridCol w:w="7019"/>
      </w:tblGrid>
      <w:tr w14:paraId="0C3DC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0B2CB5C2">
            <w:pPr>
              <w:spacing w:after="180" w:line="240" w:lineRule="exact"/>
              <w:rPr>
                <w:rFonts w:hint="default" w:ascii="Times New Roman" w:hAnsi="Times New Roman" w:eastAsia="等线"/>
                <w:b/>
                <w:bCs w:val="0"/>
                <w:i/>
                <w:iCs w:val="0"/>
                <w:sz w:val="20"/>
                <w:szCs w:val="20"/>
                <w:vertAlign w:val="baseline"/>
                <w:lang w:val="en-US" w:eastAsia="zh-CN"/>
              </w:rPr>
            </w:pPr>
          </w:p>
        </w:tc>
        <w:tc>
          <w:tcPr>
            <w:tcW w:w="7019" w:type="dxa"/>
          </w:tcPr>
          <w:p w14:paraId="1C557876">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Detail on </w:t>
            </w:r>
            <w:r>
              <w:rPr>
                <w:rFonts w:hint="eastAsia" w:ascii="Times New Roman" w:hAnsi="Times New Roman" w:eastAsia="等线"/>
                <w:b/>
                <w:bCs w:val="0"/>
                <w:i/>
                <w:iCs w:val="0"/>
                <w:sz w:val="20"/>
                <w:szCs w:val="20"/>
                <w:lang w:val="en-US" w:eastAsia="zh-CN"/>
              </w:rPr>
              <w:t>RRM requirements and procedure aspects</w:t>
            </w:r>
          </w:p>
        </w:tc>
      </w:tr>
      <w:tr w14:paraId="2045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190F25C1">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RRC_IDLE state mobility</w:t>
            </w:r>
          </w:p>
        </w:tc>
        <w:tc>
          <w:tcPr>
            <w:tcW w:w="7019" w:type="dxa"/>
          </w:tcPr>
          <w:p w14:paraId="51D65632">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Idle Mode CA/DC Measurements, Measurement report for fast CA/DC setup, etc</w:t>
            </w:r>
          </w:p>
        </w:tc>
      </w:tr>
      <w:tr w14:paraId="7A70A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EAE979F">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RRC_INACTIVE state mobility</w:t>
            </w:r>
          </w:p>
        </w:tc>
        <w:tc>
          <w:tcPr>
            <w:tcW w:w="7019" w:type="dxa"/>
          </w:tcPr>
          <w:p w14:paraId="2DC7C36F">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Cell re-selection, Inactive Mode CA/DC Measurements, Measurement report for fast CA/DC setup, etc</w:t>
            </w:r>
          </w:p>
        </w:tc>
      </w:tr>
      <w:tr w14:paraId="29E31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203B6413">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RRC_CONNECTED state mobility</w:t>
            </w:r>
          </w:p>
        </w:tc>
        <w:tc>
          <w:tcPr>
            <w:tcW w:w="7019" w:type="dxa"/>
          </w:tcPr>
          <w:p w14:paraId="6A27A00D">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Handover, Conditional Handover, RRC Re-establishment, Random access, L1/L2-Triggered Mobility, etc</w:t>
            </w:r>
          </w:p>
        </w:tc>
      </w:tr>
      <w:tr w14:paraId="35C4F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1986A5EC">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Timing</w:t>
            </w:r>
          </w:p>
        </w:tc>
        <w:tc>
          <w:tcPr>
            <w:tcW w:w="7019" w:type="dxa"/>
          </w:tcPr>
          <w:p w14:paraId="3DBFD6F5">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UE transmit timing, UE timer accuracy, Timing advance, Cell phase synchronization accuracy, Maximum Transmission Timing Difference, Maximum Receive Timing Difference, etc</w:t>
            </w:r>
          </w:p>
        </w:tc>
      </w:tr>
      <w:tr w14:paraId="75E80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66AE5917">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Signalling characteristics</w:t>
            </w:r>
          </w:p>
        </w:tc>
        <w:tc>
          <w:tcPr>
            <w:tcW w:w="7019" w:type="dxa"/>
          </w:tcPr>
          <w:p w14:paraId="1FB7E4EC">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Radio Link Monitoring, Interruption, SCell Activation and Deactivation Delay, Link Recovery Procedures, etc</w:t>
            </w:r>
          </w:p>
        </w:tc>
      </w:tr>
      <w:tr w14:paraId="37E0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39DAF325">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Procedure</w:t>
            </w:r>
          </w:p>
        </w:tc>
        <w:tc>
          <w:tcPr>
            <w:tcW w:w="7019" w:type="dxa"/>
          </w:tcPr>
          <w:p w14:paraId="51C415B8">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Measurement gap including gap pattern and gap type, UE Measurement capability, L3/L1 intra-frequency measurements, L3/L1 inter-frequency measurements, Inter-RAT measurements, etc</w:t>
            </w:r>
          </w:p>
        </w:tc>
      </w:tr>
      <w:tr w14:paraId="1B263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12" w:type="dxa"/>
          </w:tcPr>
          <w:p w14:paraId="3C7A650A">
            <w:pPr>
              <w:spacing w:after="180" w:line="240" w:lineRule="exact"/>
              <w:rPr>
                <w:rFonts w:hint="eastAsia"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lang w:val="en-US" w:eastAsia="zh-CN"/>
              </w:rPr>
              <w:t>Measurement Performance requirements</w:t>
            </w:r>
          </w:p>
        </w:tc>
        <w:tc>
          <w:tcPr>
            <w:tcW w:w="7019" w:type="dxa"/>
          </w:tcPr>
          <w:p w14:paraId="0CE7C6F9">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RSRP/RSRQ/SINR accuracy requirements, etc</w:t>
            </w:r>
          </w:p>
        </w:tc>
      </w:tr>
    </w:tbl>
    <w:p w14:paraId="06DBB042">
      <w:pPr>
        <w:spacing w:after="180" w:line="240" w:lineRule="exact"/>
        <w:rPr>
          <w:rFonts w:hint="default" w:ascii="Times New Roman" w:hAnsi="Times New Roman" w:eastAsia="等线"/>
          <w:bCs/>
          <w:iCs/>
          <w:sz w:val="20"/>
          <w:szCs w:val="20"/>
          <w:lang w:val="en-US" w:eastAsia="zh-CN"/>
        </w:rPr>
      </w:pPr>
    </w:p>
    <w:p w14:paraId="2385E44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Observation 1: Measurement enhancement, including multiple measurement gap types, are introduced in different release in 5G.</w:t>
      </w:r>
    </w:p>
    <w:p w14:paraId="59162AD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that the feature with market demand are supported from 6G day-one.  </w:t>
      </w:r>
    </w:p>
    <w:p w14:paraId="4FFDFD47">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it is proposed that measurement without gaps, e.g. </w:t>
      </w:r>
      <w:r>
        <w:rPr>
          <w:rFonts w:hint="default" w:ascii="Times New Roman" w:hAnsi="Times New Roman" w:cs="Times New Roman"/>
          <w:b/>
          <w:bCs w:val="0"/>
          <w:i/>
          <w:iCs w:val="0"/>
          <w:sz w:val="20"/>
          <w:szCs w:val="20"/>
          <w:lang w:eastAsia="zh-CN"/>
        </w:rPr>
        <w:t>NCSG</w:t>
      </w:r>
      <w:r>
        <w:rPr>
          <w:rFonts w:hint="eastAsia" w:ascii="Times New Roman" w:hAnsi="Times New Roman" w:cs="Times New Roman"/>
          <w:b/>
          <w:bCs w:val="0"/>
          <w:i/>
          <w:iCs w:val="0"/>
          <w:sz w:val="20"/>
          <w:szCs w:val="20"/>
          <w:lang w:val="en-US" w:eastAsia="zh-CN"/>
        </w:rPr>
        <w:t xml:space="preserve"> </w:t>
      </w:r>
      <w:r>
        <w:rPr>
          <w:rFonts w:hint="eastAsia" w:ascii="Times New Roman" w:hAnsi="Times New Roman" w:eastAsia="等线"/>
          <w:b/>
          <w:bCs w:val="0"/>
          <w:i/>
          <w:iCs w:val="0"/>
          <w:sz w:val="20"/>
          <w:szCs w:val="20"/>
          <w:lang w:val="en-US" w:eastAsia="zh-CN"/>
        </w:rPr>
        <w:t xml:space="preserve">or </w:t>
      </w:r>
      <w:r>
        <w:rPr>
          <w:rFonts w:hint="eastAsia" w:ascii="Times New Roman" w:hAnsi="Times New Roman" w:cs="Times New Roman"/>
          <w:b/>
          <w:bCs w:val="0"/>
          <w:i/>
          <w:iCs w:val="0"/>
          <w:sz w:val="20"/>
          <w:szCs w:val="20"/>
          <w:lang w:val="en-US" w:eastAsia="zh-CN"/>
        </w:rPr>
        <w:t xml:space="preserve">NeedForGap are supported as mandatory from </w:t>
      </w:r>
      <w:r>
        <w:rPr>
          <w:rFonts w:hint="eastAsia" w:ascii="Times New Roman" w:hAnsi="Times New Roman" w:eastAsia="等线"/>
          <w:b/>
          <w:bCs w:val="0"/>
          <w:i/>
          <w:iCs w:val="0"/>
          <w:sz w:val="20"/>
          <w:szCs w:val="20"/>
          <w:lang w:val="en-US" w:eastAsia="zh-CN"/>
        </w:rPr>
        <w:t>6G day-one.</w:t>
      </w:r>
    </w:p>
    <w:p w14:paraId="6B8507A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6GR, it is proposed to assume no interruption for measurement without gap including </w:t>
      </w:r>
      <w:r>
        <w:rPr>
          <w:rFonts w:hint="default" w:ascii="Times New Roman" w:hAnsi="Times New Roman" w:cs="Times New Roman"/>
          <w:b/>
          <w:bCs w:val="0"/>
          <w:i/>
          <w:iCs w:val="0"/>
          <w:sz w:val="20"/>
          <w:szCs w:val="20"/>
          <w:lang w:eastAsia="zh-CN"/>
        </w:rPr>
        <w:t>NCSG</w:t>
      </w:r>
      <w:r>
        <w:rPr>
          <w:rFonts w:hint="eastAsia" w:ascii="Times New Roman" w:hAnsi="Times New Roman" w:cs="Times New Roman"/>
          <w:b/>
          <w:bCs w:val="0"/>
          <w:i/>
          <w:iCs w:val="0"/>
          <w:sz w:val="20"/>
          <w:szCs w:val="20"/>
          <w:lang w:val="en-US" w:eastAsia="zh-CN"/>
        </w:rPr>
        <w:t xml:space="preserve"> and</w:t>
      </w:r>
      <w:r>
        <w:rPr>
          <w:rFonts w:hint="eastAsia" w:ascii="Times New Roman" w:hAnsi="Times New Roman" w:eastAsia="等线"/>
          <w:b/>
          <w:bCs w:val="0"/>
          <w:i/>
          <w:iCs w:val="0"/>
          <w:sz w:val="20"/>
          <w:szCs w:val="20"/>
          <w:lang w:val="en-US" w:eastAsia="zh-CN"/>
        </w:rPr>
        <w:t xml:space="preserve"> </w:t>
      </w:r>
      <w:r>
        <w:rPr>
          <w:rFonts w:hint="eastAsia" w:ascii="Times New Roman" w:hAnsi="Times New Roman" w:cs="Times New Roman"/>
          <w:b/>
          <w:bCs w:val="0"/>
          <w:i/>
          <w:iCs w:val="0"/>
          <w:sz w:val="20"/>
          <w:szCs w:val="20"/>
          <w:lang w:val="en-US" w:eastAsia="zh-CN"/>
        </w:rPr>
        <w:t>NeedForGap</w:t>
      </w:r>
      <w:r>
        <w:rPr>
          <w:rFonts w:hint="eastAsia" w:ascii="Times New Roman" w:hAnsi="Times New Roman" w:eastAsia="等线"/>
          <w:b/>
          <w:bCs w:val="0"/>
          <w:i/>
          <w:iCs w:val="0"/>
          <w:sz w:val="20"/>
          <w:szCs w:val="20"/>
          <w:lang w:val="en-US" w:eastAsia="zh-CN"/>
        </w:rPr>
        <w:t>.</w:t>
      </w:r>
    </w:p>
    <w:p w14:paraId="0A0F5774">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support concurrent measurement gaps from 6G day-1.</w:t>
      </w:r>
    </w:p>
    <w:p w14:paraId="7E4F297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it is proposed to support parallel measurement for the colliding measurement gaps.</w:t>
      </w:r>
    </w:p>
    <w:p w14:paraId="3482A1BA">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7: it is proposed to consider MG skipping/cancelling from 6G day-1, and MG skipping/cancelling is a generic approach, not limit to XR. </w:t>
      </w:r>
    </w:p>
    <w:p w14:paraId="06F0D066">
      <w:pPr>
        <w:spacing w:after="180" w:line="240" w:lineRule="exact"/>
        <w:rPr>
          <w:rFonts w:hint="default" w:ascii="Times New Roman" w:hAnsi="Times New Roman" w:eastAsia="等线"/>
          <w:b/>
          <w:bCs w:val="0"/>
          <w:i/>
          <w:iCs w:val="0"/>
          <w:sz w:val="20"/>
          <w:szCs w:val="20"/>
          <w:vertAlign w:val="baseline"/>
          <w:lang w:val="en-US" w:eastAsia="zh-CN"/>
        </w:rPr>
      </w:pPr>
      <w:r>
        <w:rPr>
          <w:rFonts w:hint="eastAsia" w:ascii="Times New Roman" w:hAnsi="Times New Roman" w:eastAsia="等线"/>
          <w:b/>
          <w:bCs w:val="0"/>
          <w:i/>
          <w:iCs w:val="0"/>
          <w:sz w:val="20"/>
          <w:szCs w:val="20"/>
          <w:vertAlign w:val="baseline"/>
          <w:lang w:val="en-US" w:eastAsia="zh-CN"/>
        </w:rPr>
        <w:t xml:space="preserve">Observation 2: in NR, with the definition on </w:t>
      </w:r>
      <w:r>
        <w:rPr>
          <w:rFonts w:hint="eastAsia" w:ascii="Times New Roman" w:hAnsi="Times New Roman" w:eastAsia="等线"/>
          <w:b/>
          <w:bCs w:val="0"/>
          <w:i/>
          <w:iCs w:val="0"/>
          <w:sz w:val="20"/>
          <w:szCs w:val="20"/>
          <w:lang w:val="en-US" w:eastAsia="zh-CN"/>
        </w:rPr>
        <w:t>intra-frequency/inter-frequency measurement, measurement r</w:t>
      </w:r>
      <w:r>
        <w:rPr>
          <w:rFonts w:hint="default" w:ascii="Times New Roman" w:hAnsi="Times New Roman" w:eastAsia="等线"/>
          <w:b/>
          <w:bCs w:val="0"/>
          <w:i/>
          <w:iCs w:val="0"/>
          <w:sz w:val="20"/>
          <w:szCs w:val="20"/>
          <w:vertAlign w:val="baseline"/>
          <w:lang w:val="en-US" w:eastAsia="zh-CN"/>
        </w:rPr>
        <w:t>equirements are categorized into 4 cases: intra-f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without</w:t>
      </w:r>
      <w:r>
        <w:rPr>
          <w:rFonts w:hint="default" w:ascii="Times New Roman" w:hAnsi="Times New Roman" w:eastAsia="等线"/>
          <w:b/>
          <w:bCs w:val="0"/>
          <w:i/>
          <w:iCs w:val="0"/>
          <w:sz w:val="20"/>
          <w:szCs w:val="20"/>
          <w:vertAlign w:val="baseline"/>
          <w:lang w:val="en-US" w:eastAsia="zh-CN"/>
        </w:rPr>
        <w:t xml:space="preserve"> gap, intra-f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w:t>
      </w:r>
      <w:r>
        <w:rPr>
          <w:rFonts w:hint="default" w:ascii="Times New Roman" w:hAnsi="Times New Roman" w:eastAsia="等线"/>
          <w:b/>
          <w:bCs w:val="0"/>
          <w:i/>
          <w:iCs w:val="0"/>
          <w:sz w:val="20"/>
          <w:szCs w:val="20"/>
          <w:vertAlign w:val="baseline"/>
          <w:lang w:val="en-US" w:eastAsia="zh-CN"/>
        </w:rPr>
        <w:t xml:space="preserve"> gap, int</w:t>
      </w:r>
      <w:r>
        <w:rPr>
          <w:rFonts w:hint="eastAsia" w:ascii="Times New Roman" w:hAnsi="Times New Roman" w:eastAsia="等线"/>
          <w:b/>
          <w:bCs w:val="0"/>
          <w:i/>
          <w:iCs w:val="0"/>
          <w:sz w:val="20"/>
          <w:szCs w:val="20"/>
          <w:vertAlign w:val="baseline"/>
          <w:lang w:val="en-US" w:eastAsia="zh-CN"/>
        </w:rPr>
        <w:t>er</w:t>
      </w:r>
      <w:r>
        <w:rPr>
          <w:rFonts w:hint="default" w:ascii="Times New Roman" w:hAnsi="Times New Roman" w:eastAsia="等线"/>
          <w:b/>
          <w:bCs w:val="0"/>
          <w:i/>
          <w:iCs w:val="0"/>
          <w:sz w:val="20"/>
          <w:szCs w:val="20"/>
          <w:vertAlign w:val="baseline"/>
          <w:lang w:val="en-US" w:eastAsia="zh-CN"/>
        </w:rPr>
        <w:t>-f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without</w:t>
      </w:r>
      <w:r>
        <w:rPr>
          <w:rFonts w:hint="default" w:ascii="Times New Roman" w:hAnsi="Times New Roman" w:eastAsia="等线"/>
          <w:b/>
          <w:bCs w:val="0"/>
          <w:i/>
          <w:iCs w:val="0"/>
          <w:sz w:val="20"/>
          <w:szCs w:val="20"/>
          <w:vertAlign w:val="baseline"/>
          <w:lang w:val="en-US" w:eastAsia="zh-CN"/>
        </w:rPr>
        <w:t xml:space="preserve"> gap, int</w:t>
      </w:r>
      <w:r>
        <w:rPr>
          <w:rFonts w:hint="eastAsia" w:ascii="Times New Roman" w:hAnsi="Times New Roman" w:eastAsia="等线"/>
          <w:b/>
          <w:bCs w:val="0"/>
          <w:i/>
          <w:iCs w:val="0"/>
          <w:sz w:val="20"/>
          <w:szCs w:val="20"/>
          <w:vertAlign w:val="baseline"/>
          <w:lang w:val="en-US" w:eastAsia="zh-CN"/>
        </w:rPr>
        <w:t>er</w:t>
      </w:r>
      <w:r>
        <w:rPr>
          <w:rFonts w:hint="default" w:ascii="Times New Roman" w:hAnsi="Times New Roman" w:eastAsia="等线"/>
          <w:b/>
          <w:bCs w:val="0"/>
          <w:i/>
          <w:iCs w:val="0"/>
          <w:sz w:val="20"/>
          <w:szCs w:val="20"/>
          <w:vertAlign w:val="baseline"/>
          <w:lang w:val="en-US" w:eastAsia="zh-CN"/>
        </w:rPr>
        <w:t>-f</w:t>
      </w:r>
      <w:r>
        <w:rPr>
          <w:rFonts w:hint="eastAsia" w:ascii="Times New Roman" w:hAnsi="Times New Roman" w:eastAsia="等线"/>
          <w:b/>
          <w:bCs w:val="0"/>
          <w:i/>
          <w:iCs w:val="0"/>
          <w:sz w:val="20"/>
          <w:szCs w:val="20"/>
          <w:vertAlign w:val="baseline"/>
          <w:lang w:val="en-US" w:eastAsia="zh-CN"/>
        </w:rPr>
        <w:t>requency measurement</w:t>
      </w:r>
      <w:r>
        <w:rPr>
          <w:rFonts w:hint="default" w:ascii="Times New Roman" w:hAnsi="Times New Roman" w:eastAsia="等线"/>
          <w:b/>
          <w:bCs w:val="0"/>
          <w:i/>
          <w:iCs w:val="0"/>
          <w:sz w:val="20"/>
          <w:szCs w:val="20"/>
          <w:vertAlign w:val="baseline"/>
          <w:lang w:val="en-US" w:eastAsia="zh-CN"/>
        </w:rPr>
        <w:t xml:space="preserve"> </w:t>
      </w:r>
      <w:r>
        <w:rPr>
          <w:rFonts w:hint="eastAsia" w:ascii="Times New Roman" w:hAnsi="Times New Roman" w:eastAsia="等线"/>
          <w:b/>
          <w:bCs w:val="0"/>
          <w:i/>
          <w:iCs w:val="0"/>
          <w:sz w:val="20"/>
          <w:szCs w:val="20"/>
          <w:vertAlign w:val="baseline"/>
          <w:lang w:val="en-US" w:eastAsia="zh-CN"/>
        </w:rPr>
        <w:t>with</w:t>
      </w:r>
      <w:r>
        <w:rPr>
          <w:rFonts w:hint="default" w:ascii="Times New Roman" w:hAnsi="Times New Roman" w:eastAsia="等线"/>
          <w:b/>
          <w:bCs w:val="0"/>
          <w:i/>
          <w:iCs w:val="0"/>
          <w:sz w:val="20"/>
          <w:szCs w:val="20"/>
          <w:vertAlign w:val="baseline"/>
          <w:lang w:val="en-US" w:eastAsia="zh-CN"/>
        </w:rPr>
        <w:t xml:space="preserve"> gap</w:t>
      </w:r>
      <w:r>
        <w:rPr>
          <w:rFonts w:hint="eastAsia" w:ascii="Times New Roman" w:hAnsi="Times New Roman" w:eastAsia="等线"/>
          <w:b/>
          <w:bCs w:val="0"/>
          <w:i/>
          <w:iCs w:val="0"/>
          <w:sz w:val="20"/>
          <w:szCs w:val="20"/>
          <w:vertAlign w:val="baseline"/>
          <w:lang w:val="en-US" w:eastAsia="zh-CN"/>
        </w:rPr>
        <w:t xml:space="preserve">, which results in complex specification and increased RAN4 workload.   </w:t>
      </w:r>
    </w:p>
    <w:p w14:paraId="506B107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it is proposed to discuss whether to have the definition on intra-frequency/ inter-frequency measurement in 6GR. Suggest to discuss whether following consideration is feasible</w:t>
      </w:r>
    </w:p>
    <w:p w14:paraId="3C90C7BA">
      <w:pPr>
        <w:numPr>
          <w:ilvl w:val="0"/>
          <w:numId w:val="7"/>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no definition on intra-frequency/ inter-frequency measurement. RRM requirements are categorized as measurement with gap and measurement without gap </w:t>
      </w:r>
    </w:p>
    <w:p w14:paraId="3BC8D80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9:  for L3 measurement and L1 measurement for mobility, it is proposed to consider unified measurement framework and define unified measurement requirements.</w:t>
      </w:r>
    </w:p>
    <w:p w14:paraId="2D7444DF">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10: it is proposed to consider unified measurement framework and define unified requirements for RLM, BFD, CBD.</w:t>
      </w:r>
    </w:p>
    <w:p w14:paraId="657336A0">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11: For UE energy efficiency, RAN4 need to wait the RAN1/RAN2 progress and then refine measurement design strategy, our initial thinking is as below:</w:t>
      </w:r>
    </w:p>
    <w:p w14:paraId="00CE0BEF">
      <w:pPr>
        <w:keepNext w:val="0"/>
        <w:keepLines w:val="0"/>
        <w:pageBreakBefore w:val="0"/>
        <w:numPr>
          <w:ilvl w:val="0"/>
          <w:numId w:val="14"/>
        </w:numPr>
        <w:kinsoku/>
        <w:wordWrap/>
        <w:topLinePunct w:val="0"/>
        <w:bidi w:val="0"/>
        <w:snapToGrid/>
        <w:spacing w:before="60" w:after="60" w:line="240" w:lineRule="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Whether to continue the DRX cycle bounded measurement requirement in 6G</w:t>
      </w:r>
    </w:p>
    <w:p w14:paraId="6A3147DD">
      <w:pPr>
        <w:keepNext w:val="0"/>
        <w:keepLines w:val="0"/>
        <w:pageBreakBefore w:val="0"/>
        <w:numPr>
          <w:ilvl w:val="0"/>
          <w:numId w:val="14"/>
        </w:numPr>
        <w:kinsoku/>
        <w:wordWrap/>
        <w:topLinePunct w:val="0"/>
        <w:bidi w:val="0"/>
        <w:snapToGrid/>
        <w:spacing w:before="60" w:after="60" w:line="240" w:lineRule="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Whether to integrate the link quality and mobility state with measurement requirement in 6G Day1</w:t>
      </w:r>
    </w:p>
    <w:p w14:paraId="0D673B91">
      <w:pPr>
        <w:keepNext w:val="0"/>
        <w:keepLines w:val="0"/>
        <w:pageBreakBefore w:val="0"/>
        <w:numPr>
          <w:ilvl w:val="0"/>
          <w:numId w:val="14"/>
        </w:numPr>
        <w:kinsoku/>
        <w:wordWrap/>
        <w:topLinePunct w:val="0"/>
        <w:bidi w:val="0"/>
        <w:snapToGrid/>
        <w:spacing w:before="60" w:after="60" w:line="240" w:lineRule="auto"/>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Merge repeated measurement behaviors. Unified L1/L3 measurement as we discussed in Clause 2.4 can be the starting point.</w:t>
      </w:r>
    </w:p>
    <w:p w14:paraId="4962335D">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12: For BS energy efficiency, RAN4 need to wait the RAN1/RAN2 progress and then identify the feasible corresponding BS energy efficiency strategy which can be done within RAN4 scope</w:t>
      </w:r>
    </w:p>
    <w:p w14:paraId="6594B2E7">
      <w:pPr>
        <w:keepNext w:val="0"/>
        <w:keepLines w:val="0"/>
        <w:pageBreakBefore w:val="0"/>
        <w:widowControl w:val="0"/>
        <w:numPr>
          <w:ilvl w:val="0"/>
          <w:numId w:val="0"/>
        </w:numPr>
        <w:kinsoku/>
        <w:wordWrap/>
        <w:topLinePunct w:val="0"/>
        <w:bidi w:val="0"/>
        <w:snapToGrid/>
        <w:spacing w:before="60" w:after="60" w:line="240" w:lineRule="auto"/>
        <w:jc w:val="both"/>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13: Towards 6G, the baseline UE measurement capability shall be reconsidered, at least the UE capability of parallelSMTC-r17, parallelMeasurementGap-r17, parallelMeasurementWithoutRestriction-r17 need to be inherited as mandatory to 6G.</w:t>
      </w:r>
    </w:p>
    <w:p w14:paraId="1C69A38F">
      <w:pPr>
        <w:keepNext w:val="0"/>
        <w:keepLines w:val="0"/>
        <w:pageBreakBefore w:val="0"/>
        <w:kinsoku/>
        <w:wordWrap/>
        <w:topLinePunct w:val="0"/>
        <w:bidi w:val="0"/>
        <w:snapToGrid/>
        <w:spacing w:before="60" w:after="60" w:line="240" w:lineRule="auto"/>
        <w:rPr>
          <w:rFonts w:hint="default"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14: Within the harmonized 6G Radio design for TN and NTN, if both TN measurement and NTN measurement are configured to UE, the measurement priority shall be under network control, the measurement on TN carrier shall have higher priority as the default assumption.</w:t>
      </w:r>
    </w:p>
    <w:p w14:paraId="64502B5F">
      <w:pPr>
        <w:tabs>
          <w:tab w:val="left" w:pos="1134"/>
        </w:tabs>
        <w:spacing w:after="180" w:line="240" w:lineRule="exact"/>
        <w:rPr>
          <w:rFonts w:hint="eastAsia" w:ascii="Times New Roman" w:hAnsi="Times New Roman"/>
          <w:sz w:val="20"/>
          <w:szCs w:val="20"/>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6"/>
        <w:framePr w:wrap="auto" w:vAnchor="margin" w:hAnchor="text" w:yAlign="inline"/>
        <w:numPr>
          <w:ilvl w:val="0"/>
          <w:numId w:val="1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18B108C">
      <w:pPr>
        <w:pStyle w:val="16"/>
        <w:framePr w:wrap="auto" w:vAnchor="margin" w:hAnchor="text" w:yAlign="inline"/>
        <w:numPr>
          <w:ilvl w:val="0"/>
          <w:numId w:val="19"/>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16"/>
        <w:framePr w:wrap="auto" w:vAnchor="margin" w:hAnchor="text" w:yAlign="inline"/>
        <w:ind w:right="400"/>
        <w:jc w:val="both"/>
        <w:rPr>
          <w:rFonts w:ascii="Times" w:hAnsi="Times" w:eastAsia="宋体"/>
          <w:b w:val="0"/>
          <w:sz w:val="20"/>
          <w:lang w:eastAsia="zh-CN"/>
        </w:rPr>
      </w:pPr>
    </w:p>
    <w:p w14:paraId="32EF543F">
      <w:pPr>
        <w:pStyle w:val="16"/>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 ??">
    <w:altName w:val="MS Gothic"/>
    <w:panose1 w:val="00000000000000000000"/>
    <w:charset w:val="80"/>
    <w:family w:val="roman"/>
    <w:pitch w:val="default"/>
    <w:sig w:usb0="00000000" w:usb1="00000000" w:usb2="00000010" w:usb3="00000000" w:csb0="00020000" w:csb1="00000000"/>
  </w:font>
  <w:font w:name="v4.2.0">
    <w:altName w:val="Noto Serif SC"/>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Noto Serif SC">
    <w:panose1 w:val="02020200000000000000"/>
    <w:charset w:val="86"/>
    <w:family w:val="auto"/>
    <w:pitch w:val="default"/>
    <w:sig w:usb0="20000083" w:usb1="2ADF3C10" w:usb2="00000016" w:usb3="00000000" w:csb0="60060107"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41A88F"/>
    <w:multiLevelType w:val="multilevel"/>
    <w:tmpl w:val="8441A88F"/>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A042621A"/>
    <w:multiLevelType w:val="singleLevel"/>
    <w:tmpl w:val="A042621A"/>
    <w:lvl w:ilvl="0" w:tentative="0">
      <w:start w:val="1"/>
      <w:numFmt w:val="decimal"/>
      <w:suff w:val="space"/>
      <w:lvlText w:val="%1."/>
      <w:lvlJc w:val="left"/>
    </w:lvl>
  </w:abstractNum>
  <w:abstractNum w:abstractNumId="2">
    <w:nsid w:val="F1C93DE2"/>
    <w:multiLevelType w:val="multilevel"/>
    <w:tmpl w:val="F1C93DE2"/>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F6871401"/>
    <w:multiLevelType w:val="singleLevel"/>
    <w:tmpl w:val="F6871401"/>
    <w:lvl w:ilvl="0" w:tentative="0">
      <w:start w:val="1"/>
      <w:numFmt w:val="decimal"/>
      <w:suff w:val="space"/>
      <w:lvlText w:val="[%1]"/>
      <w:lvlJc w:val="left"/>
    </w:lvl>
  </w:abstractNum>
  <w:abstractNum w:abstractNumId="4">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9984889"/>
    <w:multiLevelType w:val="singleLevel"/>
    <w:tmpl w:val="29984889"/>
    <w:lvl w:ilvl="0" w:tentative="0">
      <w:start w:val="1"/>
      <w:numFmt w:val="bullet"/>
      <w:lvlText w:val=""/>
      <w:lvlJc w:val="left"/>
      <w:pPr>
        <w:ind w:left="420" w:hanging="420"/>
      </w:pPr>
      <w:rPr>
        <w:rFonts w:hint="default" w:ascii="Wingdings" w:hAnsi="Wingdings"/>
      </w:rPr>
    </w:lvl>
  </w:abstractNum>
  <w:abstractNum w:abstractNumId="7">
    <w:nsid w:val="2D0D053D"/>
    <w:multiLevelType w:val="multilevel"/>
    <w:tmpl w:val="2D0D053D"/>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32812A91"/>
    <w:multiLevelType w:val="singleLevel"/>
    <w:tmpl w:val="32812A91"/>
    <w:lvl w:ilvl="0" w:tentative="0">
      <w:start w:val="1"/>
      <w:numFmt w:val="decimal"/>
      <w:suff w:val="space"/>
      <w:lvlText w:val="%1."/>
      <w:lvlJc w:val="left"/>
    </w:lvl>
  </w:abstractNum>
  <w:abstractNum w:abstractNumId="9">
    <w:nsid w:val="3AA46647"/>
    <w:multiLevelType w:val="multilevel"/>
    <w:tmpl w:val="3AA46647"/>
    <w:lvl w:ilvl="0" w:tentative="0">
      <w:start w:val="1"/>
      <w:numFmt w:val="decimal"/>
      <w:pStyle w:val="1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B13066C"/>
    <w:multiLevelType w:val="multilevel"/>
    <w:tmpl w:val="3B13066C"/>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1">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FB773E6"/>
    <w:multiLevelType w:val="multilevel"/>
    <w:tmpl w:val="4FB773E6"/>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Symbol" w:hAnsi="Symbol"/>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62A1884D"/>
    <w:multiLevelType w:val="singleLevel"/>
    <w:tmpl w:val="62A1884D"/>
    <w:lvl w:ilvl="0" w:tentative="0">
      <w:start w:val="1"/>
      <w:numFmt w:val="decimal"/>
      <w:suff w:val="space"/>
      <w:lvlText w:val="%1."/>
      <w:lvlJc w:val="left"/>
    </w:lvl>
  </w:abstractNum>
  <w:abstractNum w:abstractNumId="16">
    <w:nsid w:val="64513F94"/>
    <w:multiLevelType w:val="multilevel"/>
    <w:tmpl w:val="64513F94"/>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70146DC0"/>
    <w:multiLevelType w:val="multilevel"/>
    <w:tmpl w:val="70146DC0"/>
    <w:lvl w:ilvl="0" w:tentative="0">
      <w:start w:val="1"/>
      <w:numFmt w:val="bullet"/>
      <w:pStyle w:val="2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8"/>
  </w:num>
  <w:num w:numId="2">
    <w:abstractNumId w:val="9"/>
  </w:num>
  <w:num w:numId="3">
    <w:abstractNumId w:val="17"/>
  </w:num>
  <w:num w:numId="4">
    <w:abstractNumId w:val="5"/>
  </w:num>
  <w:num w:numId="5">
    <w:abstractNumId w:val="4"/>
  </w:num>
  <w:num w:numId="6">
    <w:abstractNumId w:val="12"/>
  </w:num>
  <w:num w:numId="7">
    <w:abstractNumId w:val="6"/>
  </w:num>
  <w:num w:numId="8">
    <w:abstractNumId w:val="11"/>
  </w:num>
  <w:num w:numId="9">
    <w:abstractNumId w:val="16"/>
  </w:num>
  <w:num w:numId="10">
    <w:abstractNumId w:val="13"/>
  </w:num>
  <w:num w:numId="11">
    <w:abstractNumId w:val="7"/>
  </w:num>
  <w:num w:numId="12">
    <w:abstractNumId w:val="10"/>
  </w:num>
  <w:num w:numId="13">
    <w:abstractNumId w:val="8"/>
  </w:num>
  <w:num w:numId="14">
    <w:abstractNumId w:val="1"/>
  </w:num>
  <w:num w:numId="15">
    <w:abstractNumId w:val="0"/>
  </w:num>
  <w:num w:numId="16">
    <w:abstractNumId w:val="2"/>
  </w:num>
  <w:num w:numId="17">
    <w:abstractNumId w:val="14"/>
  </w:num>
  <w:num w:numId="18">
    <w:abstractNumId w:val="1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2845F2"/>
    <w:rsid w:val="031E1229"/>
    <w:rsid w:val="03C030A6"/>
    <w:rsid w:val="050F525C"/>
    <w:rsid w:val="053428A8"/>
    <w:rsid w:val="05DE4E38"/>
    <w:rsid w:val="05FD1D18"/>
    <w:rsid w:val="06E076D6"/>
    <w:rsid w:val="06FD1204"/>
    <w:rsid w:val="07CE2E09"/>
    <w:rsid w:val="07E40B71"/>
    <w:rsid w:val="089D0CB1"/>
    <w:rsid w:val="08B50B7B"/>
    <w:rsid w:val="08F5133F"/>
    <w:rsid w:val="09405F3B"/>
    <w:rsid w:val="09AF2A9B"/>
    <w:rsid w:val="09B01C47"/>
    <w:rsid w:val="0A573618"/>
    <w:rsid w:val="0A583B83"/>
    <w:rsid w:val="0B943C03"/>
    <w:rsid w:val="0C3B6B9E"/>
    <w:rsid w:val="0D1C7510"/>
    <w:rsid w:val="0D8E29D6"/>
    <w:rsid w:val="0EC3241C"/>
    <w:rsid w:val="0F4C27CC"/>
    <w:rsid w:val="0FA30B04"/>
    <w:rsid w:val="0FE50EF5"/>
    <w:rsid w:val="105F7F23"/>
    <w:rsid w:val="111346BF"/>
    <w:rsid w:val="11A46535"/>
    <w:rsid w:val="127D6382"/>
    <w:rsid w:val="12B40A3B"/>
    <w:rsid w:val="13C50F53"/>
    <w:rsid w:val="142E3B2B"/>
    <w:rsid w:val="14A31207"/>
    <w:rsid w:val="14A423A8"/>
    <w:rsid w:val="15685863"/>
    <w:rsid w:val="15C5068C"/>
    <w:rsid w:val="15D02265"/>
    <w:rsid w:val="15F6718A"/>
    <w:rsid w:val="16AE28C5"/>
    <w:rsid w:val="16E27EB6"/>
    <w:rsid w:val="176048E7"/>
    <w:rsid w:val="17ED0CBB"/>
    <w:rsid w:val="18B21538"/>
    <w:rsid w:val="19150AB5"/>
    <w:rsid w:val="1954064E"/>
    <w:rsid w:val="198619D0"/>
    <w:rsid w:val="1A720A97"/>
    <w:rsid w:val="1AB30271"/>
    <w:rsid w:val="1C970BAC"/>
    <w:rsid w:val="1FA060F1"/>
    <w:rsid w:val="20665761"/>
    <w:rsid w:val="21C5713A"/>
    <w:rsid w:val="23D51059"/>
    <w:rsid w:val="247B4ED4"/>
    <w:rsid w:val="25C11700"/>
    <w:rsid w:val="26916953"/>
    <w:rsid w:val="299824CF"/>
    <w:rsid w:val="2A292E18"/>
    <w:rsid w:val="2C372A17"/>
    <w:rsid w:val="2C3D01A4"/>
    <w:rsid w:val="2F3D15B9"/>
    <w:rsid w:val="2FD9098F"/>
    <w:rsid w:val="31890F43"/>
    <w:rsid w:val="32851872"/>
    <w:rsid w:val="32E85F26"/>
    <w:rsid w:val="342D50A6"/>
    <w:rsid w:val="34453CA2"/>
    <w:rsid w:val="354613F6"/>
    <w:rsid w:val="35D22FBC"/>
    <w:rsid w:val="393E203F"/>
    <w:rsid w:val="394B380F"/>
    <w:rsid w:val="396046AE"/>
    <w:rsid w:val="39C97388"/>
    <w:rsid w:val="3BBC450D"/>
    <w:rsid w:val="3BFF4ED4"/>
    <w:rsid w:val="3CD662DF"/>
    <w:rsid w:val="3D8A7087"/>
    <w:rsid w:val="3DD71886"/>
    <w:rsid w:val="3DEF01B7"/>
    <w:rsid w:val="3DFA571D"/>
    <w:rsid w:val="3E757DCD"/>
    <w:rsid w:val="3E9E1A93"/>
    <w:rsid w:val="407C5E04"/>
    <w:rsid w:val="41D3540D"/>
    <w:rsid w:val="427D7E24"/>
    <w:rsid w:val="42972BCC"/>
    <w:rsid w:val="44715EBB"/>
    <w:rsid w:val="46E4575A"/>
    <w:rsid w:val="473964E9"/>
    <w:rsid w:val="47E11C0A"/>
    <w:rsid w:val="49000143"/>
    <w:rsid w:val="4A453726"/>
    <w:rsid w:val="4A5C4A8C"/>
    <w:rsid w:val="4BCD427D"/>
    <w:rsid w:val="4D1B2866"/>
    <w:rsid w:val="4D3D03C8"/>
    <w:rsid w:val="4DC253B8"/>
    <w:rsid w:val="4E1736E9"/>
    <w:rsid w:val="4E5A52AA"/>
    <w:rsid w:val="4EB15812"/>
    <w:rsid w:val="4F2A68EE"/>
    <w:rsid w:val="4F305AF3"/>
    <w:rsid w:val="502C341E"/>
    <w:rsid w:val="50BC7085"/>
    <w:rsid w:val="50D756B0"/>
    <w:rsid w:val="52A87B2A"/>
    <w:rsid w:val="5516017D"/>
    <w:rsid w:val="554E6B03"/>
    <w:rsid w:val="579831C5"/>
    <w:rsid w:val="587B1239"/>
    <w:rsid w:val="592F4560"/>
    <w:rsid w:val="59587923"/>
    <w:rsid w:val="5B8930BB"/>
    <w:rsid w:val="5D59246C"/>
    <w:rsid w:val="5D6323CD"/>
    <w:rsid w:val="5DCC0D69"/>
    <w:rsid w:val="5E5B41DD"/>
    <w:rsid w:val="5F523471"/>
    <w:rsid w:val="60CF35B8"/>
    <w:rsid w:val="61554B37"/>
    <w:rsid w:val="62865532"/>
    <w:rsid w:val="63860958"/>
    <w:rsid w:val="63A57B87"/>
    <w:rsid w:val="64CB576C"/>
    <w:rsid w:val="65E96850"/>
    <w:rsid w:val="661D5DA5"/>
    <w:rsid w:val="66BC011A"/>
    <w:rsid w:val="67330DA8"/>
    <w:rsid w:val="6A356F1A"/>
    <w:rsid w:val="6AC458C1"/>
    <w:rsid w:val="6ACE1BC9"/>
    <w:rsid w:val="6C8E3A48"/>
    <w:rsid w:val="6D205895"/>
    <w:rsid w:val="6D620092"/>
    <w:rsid w:val="6DF67E77"/>
    <w:rsid w:val="6E2B1C40"/>
    <w:rsid w:val="6F3538B4"/>
    <w:rsid w:val="6F984846"/>
    <w:rsid w:val="715440AF"/>
    <w:rsid w:val="724D5513"/>
    <w:rsid w:val="739A5EFA"/>
    <w:rsid w:val="73FA42D5"/>
    <w:rsid w:val="74AF2AFE"/>
    <w:rsid w:val="753E3654"/>
    <w:rsid w:val="75886832"/>
    <w:rsid w:val="75EB31C2"/>
    <w:rsid w:val="775D7246"/>
    <w:rsid w:val="77D070AC"/>
    <w:rsid w:val="78824EE6"/>
    <w:rsid w:val="79CD59E4"/>
    <w:rsid w:val="79D9262A"/>
    <w:rsid w:val="79F42021"/>
    <w:rsid w:val="7A4603DC"/>
    <w:rsid w:val="7AB15C57"/>
    <w:rsid w:val="7B912423"/>
    <w:rsid w:val="7C3F053B"/>
    <w:rsid w:val="7C3F4164"/>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semiHidden/>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0">
    <w:name w:val="List 4"/>
    <w:basedOn w:val="3"/>
    <w:qFormat/>
    <w:uiPriority w:val="0"/>
    <w:pPr>
      <w:ind w:left="1418"/>
    </w:pPr>
  </w:style>
  <w:style w:type="table" w:styleId="12">
    <w:name w:val="Table Grid"/>
    <w:basedOn w:val="1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qFormat/>
    <w:uiPriority w:val="34"/>
    <w:pPr>
      <w:widowControl/>
      <w:ind w:firstLine="420" w:firstLineChars="200"/>
      <w:jc w:val="left"/>
    </w:pPr>
    <w:rPr>
      <w:rFonts w:ascii="宋体" w:hAnsi="宋体"/>
      <w:kern w:val="0"/>
    </w:rPr>
  </w:style>
  <w:style w:type="paragraph" w:customStyle="1" w:styleId="15">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7">
    <w:name w:val="B1"/>
    <w:basedOn w:val="5"/>
    <w:qFormat/>
    <w:uiPriority w:val="0"/>
    <w:pPr>
      <w:ind w:left="568" w:hanging="284"/>
    </w:pPr>
  </w:style>
  <w:style w:type="paragraph" w:customStyle="1" w:styleId="18">
    <w:name w:val="B2"/>
    <w:basedOn w:val="4"/>
    <w:qFormat/>
    <w:uiPriority w:val="0"/>
    <w:pPr>
      <w:ind w:left="851" w:hanging="284"/>
    </w:pPr>
  </w:style>
  <w:style w:type="paragraph" w:customStyle="1" w:styleId="19">
    <w:name w:val="B3"/>
    <w:basedOn w:val="3"/>
    <w:qFormat/>
    <w:uiPriority w:val="0"/>
    <w:pPr>
      <w:ind w:left="1135" w:hanging="284"/>
    </w:pPr>
  </w:style>
  <w:style w:type="paragraph" w:customStyle="1" w:styleId="20">
    <w:name w:val="Agreement"/>
    <w:basedOn w:val="1"/>
    <w:next w:val="21"/>
    <w:qFormat/>
    <w:uiPriority w:val="99"/>
    <w:pPr>
      <w:numPr>
        <w:ilvl w:val="0"/>
        <w:numId w:val="3"/>
      </w:numPr>
      <w:spacing w:before="60"/>
    </w:pPr>
    <w:rPr>
      <w:b/>
    </w:rPr>
  </w:style>
  <w:style w:type="paragraph" w:customStyle="1" w:styleId="21">
    <w:name w:val="Doc-text2"/>
    <w:basedOn w:val="1"/>
    <w:qFormat/>
    <w:uiPriority w:val="0"/>
    <w:pPr>
      <w:tabs>
        <w:tab w:val="left" w:pos="1622"/>
      </w:tabs>
      <w:spacing w:before="0"/>
      <w:ind w:left="1622" w:hanging="363"/>
    </w:pPr>
  </w:style>
  <w:style w:type="paragraph" w:customStyle="1" w:styleId="22">
    <w:name w:val="B4"/>
    <w:basedOn w:val="10"/>
    <w:qFormat/>
    <w:uiPriority w:val="0"/>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rPr>
  </w:style>
  <w:style w:type="paragraph" w:customStyle="1" w:styleId="27">
    <w:name w:val="TAN"/>
    <w:basedOn w:val="26"/>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2</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2025-09-29T08:52:28Z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